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A1D48" w14:textId="77777777" w:rsidR="003D7881" w:rsidRDefault="003D7881" w:rsidP="00445CC5">
      <w:pPr>
        <w:spacing w:after="720"/>
        <w:jc w:val="both"/>
      </w:pPr>
    </w:p>
    <w:p w14:paraId="5B62359C" w14:textId="77777777" w:rsidR="003D7881" w:rsidRDefault="00000000" w:rsidP="00445CC5">
      <w:pPr>
        <w:spacing w:after="120"/>
        <w:jc w:val="both"/>
      </w:pPr>
      <w:r>
        <w:rPr>
          <w:rFonts w:cs="Arial"/>
          <w:b/>
          <w:bCs/>
          <w:sz w:val="56"/>
          <w:szCs w:val="56"/>
        </w:rPr>
        <w:t>NEPAL REAL ESTATE MARKET</w:t>
      </w:r>
    </w:p>
    <w:p w14:paraId="61AF956F" w14:textId="77777777" w:rsidR="003D7881" w:rsidRDefault="00000000" w:rsidP="00445CC5">
      <w:pPr>
        <w:spacing w:after="120"/>
        <w:jc w:val="both"/>
      </w:pPr>
      <w:r>
        <w:rPr>
          <w:rFonts w:cs="Arial"/>
          <w:i/>
          <w:iCs/>
          <w:color w:val="78716C"/>
          <w:sz w:val="36"/>
          <w:szCs w:val="36"/>
        </w:rPr>
        <w:t>A Decade in Review</w:t>
      </w:r>
    </w:p>
    <w:p w14:paraId="2804B584" w14:textId="77777777" w:rsidR="003D7881" w:rsidRDefault="00000000" w:rsidP="00445CC5">
      <w:pPr>
        <w:spacing w:after="200"/>
        <w:jc w:val="both"/>
      </w:pPr>
      <w:r>
        <w:rPr>
          <w:rFonts w:cs="Arial"/>
          <w:b/>
          <w:bCs/>
          <w:color w:val="C4921A"/>
          <w:sz w:val="28"/>
          <w:szCs w:val="28"/>
        </w:rPr>
        <w:t>2014 – 2026</w:t>
      </w:r>
    </w:p>
    <w:p w14:paraId="57B45BE6" w14:textId="77777777" w:rsidR="003D7881" w:rsidRDefault="00000000" w:rsidP="00445CC5">
      <w:pPr>
        <w:spacing w:after="600"/>
        <w:jc w:val="both"/>
      </w:pPr>
      <w:r>
        <w:rPr>
          <w:rFonts w:cs="Arial"/>
          <w:i/>
          <w:iCs/>
          <w:color w:val="78716C"/>
          <w:sz w:val="22"/>
          <w:szCs w:val="22"/>
        </w:rPr>
        <w:t>Structural, Regulatory, and Macroeconomic Dynamics</w:t>
      </w:r>
    </w:p>
    <w:p w14:paraId="3D366351" w14:textId="77777777" w:rsidR="003D7881" w:rsidRDefault="00000000" w:rsidP="00445CC5">
      <w:pPr>
        <w:spacing w:after="160"/>
        <w:jc w:val="both"/>
      </w:pPr>
      <w:r>
        <w:rPr>
          <w:rFonts w:cs="Arial"/>
          <w:i/>
          <w:iCs/>
          <w:color w:val="AAAAAA"/>
          <w:sz w:val="18"/>
          <w:szCs w:val="18"/>
        </w:rPr>
        <w:t>Compiled from: Structural, Regulatory, and Macroeconomic Dynamics of Nepal's Real Estate Market: A Decade in Review (2014–2024)</w:t>
      </w:r>
    </w:p>
    <w:p w14:paraId="3BC5EEE9" w14:textId="3B64877E" w:rsidR="003D7881" w:rsidRDefault="00000000" w:rsidP="00E222A3">
      <w:pPr>
        <w:jc w:val="both"/>
      </w:pPr>
      <w:r>
        <w:rPr>
          <w:rFonts w:cs="Arial"/>
          <w:i/>
          <w:iCs/>
          <w:color w:val="AAAAAA"/>
          <w:sz w:val="18"/>
          <w:szCs w:val="18"/>
        </w:rPr>
        <w:t>All in-text citation numbers are hyperlinked to their original source documents.</w:t>
      </w:r>
    </w:p>
    <w:p w14:paraId="336B3D7B" w14:textId="77777777" w:rsidR="003D7881" w:rsidRDefault="003D7881" w:rsidP="00445CC5">
      <w:pPr>
        <w:pBdr>
          <w:bottom w:val="single" w:sz="4" w:space="1" w:color="D6D0C8"/>
        </w:pBdr>
        <w:spacing w:before="240" w:after="240"/>
        <w:jc w:val="both"/>
      </w:pPr>
    </w:p>
    <w:p w14:paraId="3422738C" w14:textId="1D7F2E04" w:rsidR="003D7881" w:rsidRDefault="00000000" w:rsidP="00445CC5">
      <w:pPr>
        <w:shd w:val="clear" w:color="auto" w:fill="2C2C2C"/>
        <w:spacing w:before="440"/>
        <w:ind w:left="200" w:right="200"/>
        <w:jc w:val="both"/>
      </w:pPr>
      <w:r>
        <w:rPr>
          <w:rFonts w:cs="Arial"/>
          <w:b/>
          <w:bCs/>
          <w:color w:val="FFFFFF"/>
          <w:sz w:val="26"/>
          <w:szCs w:val="26"/>
        </w:rPr>
        <w:t xml:space="preserve">PHASE I </w:t>
      </w:r>
      <w:r w:rsidR="00445CC5">
        <w:rPr>
          <w:rFonts w:cs="Arial"/>
          <w:b/>
          <w:bCs/>
          <w:color w:val="FFFFFF"/>
          <w:sz w:val="26"/>
          <w:szCs w:val="26"/>
        </w:rPr>
        <w:t>-</w:t>
      </w:r>
      <w:r>
        <w:rPr>
          <w:rFonts w:cs="Arial"/>
          <w:b/>
          <w:bCs/>
          <w:color w:val="FFFFFF"/>
          <w:sz w:val="26"/>
          <w:szCs w:val="26"/>
        </w:rPr>
        <w:t xml:space="preserve"> Structural Foundations of the Boom</w:t>
      </w:r>
    </w:p>
    <w:p w14:paraId="28B78FDD" w14:textId="77777777" w:rsidR="003D7881" w:rsidRDefault="00000000" w:rsidP="00445CC5">
      <w:pPr>
        <w:shd w:val="clear" w:color="auto" w:fill="2C2C2C"/>
        <w:spacing w:after="320"/>
        <w:ind w:left="200" w:right="200"/>
        <w:jc w:val="both"/>
      </w:pPr>
      <w:r>
        <w:rPr>
          <w:rFonts w:cs="Arial"/>
          <w:i/>
          <w:iCs/>
          <w:color w:val="D4C5A8"/>
          <w:sz w:val="19"/>
          <w:szCs w:val="19"/>
        </w:rPr>
        <w:t>2014 – 2021   ·   2071 – 2078 BS</w:t>
      </w:r>
    </w:p>
    <w:p w14:paraId="2516C822" w14:textId="77777777" w:rsidR="003D7881" w:rsidRDefault="00000000" w:rsidP="00445CC5">
      <w:pPr>
        <w:pBdr>
          <w:left w:val="thick" w:sz="14" w:space="10" w:color="7C5C3E"/>
        </w:pBdr>
        <w:spacing w:before="280" w:after="60"/>
        <w:ind w:left="220"/>
        <w:jc w:val="both"/>
      </w:pPr>
      <w:r>
        <w:rPr>
          <w:rFonts w:cs="Arial"/>
          <w:b/>
          <w:bCs/>
          <w:color w:val="555555"/>
          <w:sz w:val="18"/>
          <w:szCs w:val="18"/>
        </w:rPr>
        <w:t xml:space="preserve">2071–2077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2014–2020 AD</w:t>
      </w:r>
      <w:r>
        <w:rPr>
          <w:rFonts w:cs="Arial"/>
          <w:sz w:val="18"/>
          <w:szCs w:val="18"/>
        </w:rPr>
        <w:t xml:space="preserve">        </w:t>
      </w:r>
      <w:r>
        <w:rPr>
          <w:rFonts w:cs="Arial"/>
          <w:b/>
          <w:bCs/>
          <w:color w:val="7C5C3E"/>
          <w:sz w:val="18"/>
          <w:szCs w:val="18"/>
        </w:rPr>
        <w:t>◆ STRUCTURAL DRIVER</w:t>
      </w:r>
    </w:p>
    <w:p w14:paraId="760898B0" w14:textId="77777777" w:rsidR="003D7881" w:rsidRDefault="00000000" w:rsidP="00445CC5">
      <w:pPr>
        <w:pBdr>
          <w:left w:val="thick" w:sz="14" w:space="10" w:color="DDDDDD"/>
        </w:pBdr>
        <w:spacing w:before="60" w:after="160"/>
        <w:ind w:left="220"/>
        <w:jc w:val="both"/>
      </w:pPr>
      <w:r>
        <w:rPr>
          <w:rFonts w:cs="Arial"/>
          <w:b/>
          <w:bCs/>
          <w:sz w:val="26"/>
          <w:szCs w:val="26"/>
        </w:rPr>
        <w:t>Hyper-Urbanization &amp; Mass Internal Migration Reshape Nepal's Land Demand</w:t>
      </w:r>
    </w:p>
    <w:p w14:paraId="42D69E0F" w14:textId="77777777" w:rsidR="003D7881" w:rsidRDefault="00000000" w:rsidP="00445CC5">
      <w:pPr>
        <w:pBdr>
          <w:left w:val="thick" w:sz="6" w:space="10" w:color="EEEEEE"/>
        </w:pBdr>
        <w:spacing w:after="120"/>
        <w:ind w:left="220"/>
        <w:jc w:val="both"/>
      </w:pPr>
      <w:r>
        <w:rPr>
          <w:rFonts w:cs="Arial"/>
        </w:rPr>
        <w:t>Nepal underwent a profound demographic and spatial redistribution, with populations mass-migrating from Hill and Mountain ecosystems into the fertile Terai plains and heavily concentrated urban valley centers.</w:t>
      </w:r>
      <w:hyperlink r:id="rId7" w:history="1">
        <w:r>
          <w:rPr>
            <w:rFonts w:cs="Arial"/>
            <w:color w:val="C4921A"/>
            <w:sz w:val="16"/>
            <w:szCs w:val="16"/>
            <w:u w:val="single" w:color="C4921A"/>
            <w:vertAlign w:val="superscript"/>
          </w:rPr>
          <w:t>[7]</w:t>
        </w:r>
      </w:hyperlink>
    </w:p>
    <w:p w14:paraId="3E7A8489" w14:textId="1342DBD1" w:rsidR="003D7881" w:rsidRDefault="00000000" w:rsidP="00445CC5">
      <w:pPr>
        <w:pBdr>
          <w:left w:val="thick" w:sz="6" w:space="10" w:color="EEEEEE"/>
        </w:pBdr>
        <w:spacing w:after="120"/>
        <w:ind w:left="220"/>
        <w:jc w:val="both"/>
      </w:pPr>
      <w:r>
        <w:rPr>
          <w:rFonts w:cs="Arial"/>
        </w:rPr>
        <w:t>National Population and Housing Census data (2011–2021) confirmed this dramatic shift.</w:t>
      </w:r>
      <w:hyperlink r:id="rId8" w:history="1">
        <w:r>
          <w:rPr>
            <w:rFonts w:cs="Arial"/>
            <w:color w:val="C4921A"/>
            <w:sz w:val="16"/>
            <w:szCs w:val="16"/>
            <w:u w:val="single" w:color="C4921A"/>
            <w:vertAlign w:val="superscript"/>
          </w:rPr>
          <w:t>[8]</w:t>
        </w:r>
      </w:hyperlink>
      <w:hyperlink r:id="rId9" w:history="1">
        <w:r>
          <w:rPr>
            <w:rFonts w:cs="Arial"/>
            <w:color w:val="C4921A"/>
            <w:sz w:val="16"/>
            <w:szCs w:val="16"/>
            <w:u w:val="single" w:color="C4921A"/>
            <w:vertAlign w:val="superscript"/>
          </w:rPr>
          <w:t>[10]</w:t>
        </w:r>
      </w:hyperlink>
      <w:r>
        <w:rPr>
          <w:rFonts w:cs="Arial"/>
        </w:rPr>
        <w:t xml:space="preserve"> </w:t>
      </w:r>
      <w:r>
        <w:rPr>
          <w:rFonts w:cs="Arial"/>
          <w:b/>
          <w:bCs/>
        </w:rPr>
        <w:t>Bagmati Province</w:t>
      </w:r>
      <w:r>
        <w:rPr>
          <w:rFonts w:cs="Arial"/>
        </w:rPr>
        <w:t xml:space="preserve"> </w:t>
      </w:r>
      <w:r w:rsidR="00445CC5">
        <w:rPr>
          <w:rFonts w:cs="Arial"/>
        </w:rPr>
        <w:t>-</w:t>
      </w:r>
      <w:r>
        <w:rPr>
          <w:rFonts w:cs="Arial"/>
        </w:rPr>
        <w:t xml:space="preserve"> encompassing the Kathmandu Valley </w:t>
      </w:r>
      <w:r w:rsidR="00445CC5">
        <w:rPr>
          <w:rFonts w:cs="Arial"/>
        </w:rPr>
        <w:t>-</w:t>
      </w:r>
      <w:r>
        <w:rPr>
          <w:rFonts w:cs="Arial"/>
        </w:rPr>
        <w:t xml:space="preserve"> reached </w:t>
      </w:r>
      <w:r>
        <w:rPr>
          <w:rFonts w:cs="Arial"/>
          <w:b/>
          <w:bCs/>
        </w:rPr>
        <w:t>56.2% urbanization</w:t>
      </w:r>
      <w:r>
        <w:rPr>
          <w:rFonts w:cs="Arial"/>
        </w:rPr>
        <w:t xml:space="preserve">. The Kathmandu Valley itself reached </w:t>
      </w:r>
      <w:r>
        <w:rPr>
          <w:rFonts w:cs="Arial"/>
          <w:b/>
          <w:bCs/>
        </w:rPr>
        <w:t>91.7% urbanization</w:t>
      </w:r>
      <w:r>
        <w:rPr>
          <w:rFonts w:cs="Arial"/>
        </w:rPr>
        <w:t xml:space="preserve"> </w:t>
      </w:r>
      <w:r w:rsidR="00445CC5">
        <w:rPr>
          <w:rFonts w:cs="Arial"/>
        </w:rPr>
        <w:t>-</w:t>
      </w:r>
      <w:r>
        <w:rPr>
          <w:rFonts w:cs="Arial"/>
        </w:rPr>
        <w:t xml:space="preserve"> functionally hyper-urbanized.</w:t>
      </w:r>
      <w:hyperlink r:id="rId10" w:history="1">
        <w:r>
          <w:rPr>
            <w:rFonts w:cs="Arial"/>
            <w:color w:val="C4921A"/>
            <w:sz w:val="16"/>
            <w:szCs w:val="16"/>
            <w:u w:val="single" w:color="C4921A"/>
            <w:vertAlign w:val="superscript"/>
          </w:rPr>
          <w:t>[7]</w:t>
        </w:r>
      </w:hyperlink>
    </w:p>
    <w:p w14:paraId="7D3B4280" w14:textId="77777777" w:rsidR="003D7881" w:rsidRDefault="00000000" w:rsidP="00445CC5">
      <w:pPr>
        <w:pBdr>
          <w:left w:val="thick" w:sz="6" w:space="10" w:color="EEEEEE"/>
        </w:pBdr>
        <w:spacing w:after="120"/>
        <w:ind w:left="220"/>
        <w:jc w:val="both"/>
      </w:pPr>
      <w:r>
        <w:rPr>
          <w:rFonts w:cs="Arial"/>
        </w:rPr>
        <w:t xml:space="preserve">Metropolitan </w:t>
      </w:r>
      <w:proofErr w:type="spellStart"/>
      <w:r>
        <w:rPr>
          <w:rFonts w:cs="Arial"/>
        </w:rPr>
        <w:t>centres</w:t>
      </w:r>
      <w:proofErr w:type="spellEnd"/>
      <w:r>
        <w:rPr>
          <w:rFonts w:cs="Arial"/>
        </w:rPr>
        <w:t xml:space="preserve"> (Kathmandu, Lalitpur, Pokhara) and rapidly emerging Terai hubs (</w:t>
      </w:r>
      <w:proofErr w:type="spellStart"/>
      <w:r>
        <w:rPr>
          <w:rFonts w:cs="Arial"/>
        </w:rPr>
        <w:t>Bharatpur</w:t>
      </w:r>
      <w:proofErr w:type="spellEnd"/>
      <w:r>
        <w:rPr>
          <w:rFonts w:cs="Arial"/>
        </w:rPr>
        <w:t xml:space="preserve">, </w:t>
      </w:r>
      <w:proofErr w:type="spellStart"/>
      <w:r>
        <w:rPr>
          <w:rFonts w:cs="Arial"/>
        </w:rPr>
        <w:t>Birgunj</w:t>
      </w:r>
      <w:proofErr w:type="spellEnd"/>
      <w:r>
        <w:rPr>
          <w:rFonts w:cs="Arial"/>
        </w:rPr>
        <w:t xml:space="preserve">, </w:t>
      </w:r>
      <w:proofErr w:type="spellStart"/>
      <w:r>
        <w:rPr>
          <w:rFonts w:cs="Arial"/>
        </w:rPr>
        <w:t>Dhangadhi</w:t>
      </w:r>
      <w:proofErr w:type="spellEnd"/>
      <w:r>
        <w:rPr>
          <w:rFonts w:cs="Arial"/>
        </w:rPr>
        <w:t xml:space="preserve">) experienced severe, </w:t>
      </w:r>
      <w:proofErr w:type="spellStart"/>
      <w:r>
        <w:rPr>
          <w:rFonts w:cs="Arial"/>
        </w:rPr>
        <w:t>localised</w:t>
      </w:r>
      <w:proofErr w:type="spellEnd"/>
      <w:r>
        <w:rPr>
          <w:rFonts w:cs="Arial"/>
        </w:rPr>
        <w:t xml:space="preserve"> land scarcity. Internal migrants converged on these nodes, driven by push factors of limited rural opportunities and pull factors of superior employment, healthcare, and educational infrastructure.</w:t>
      </w:r>
      <w:hyperlink r:id="rId11" w:history="1">
        <w:r>
          <w:rPr>
            <w:rFonts w:cs="Arial"/>
            <w:color w:val="C4921A"/>
            <w:sz w:val="16"/>
            <w:szCs w:val="16"/>
            <w:u w:val="single" w:color="C4921A"/>
            <w:vertAlign w:val="superscript"/>
          </w:rPr>
          <w:t>[10]</w:t>
        </w:r>
      </w:hyperlink>
    </w:p>
    <w:p w14:paraId="65731452" w14:textId="4EEFF535" w:rsidR="003D7881" w:rsidRDefault="00000000" w:rsidP="00445CC5">
      <w:pPr>
        <w:pBdr>
          <w:left w:val="thick" w:sz="6" w:space="10" w:color="EEEEEE"/>
        </w:pBdr>
        <w:spacing w:after="120"/>
        <w:ind w:left="220"/>
        <w:jc w:val="both"/>
      </w:pPr>
      <w:r>
        <w:rPr>
          <w:rFonts w:cs="Arial"/>
        </w:rPr>
        <w:t xml:space="preserve">Infrastructure expansion </w:t>
      </w:r>
      <w:r w:rsidR="00445CC5">
        <w:rPr>
          <w:rFonts w:cs="Arial"/>
        </w:rPr>
        <w:t>-</w:t>
      </w:r>
      <w:r>
        <w:rPr>
          <w:rFonts w:cs="Arial"/>
        </w:rPr>
        <w:t xml:space="preserve"> road networks, highways, and Ring Road expansion in the Kathmandu Valley </w:t>
      </w:r>
      <w:r w:rsidR="00445CC5">
        <w:rPr>
          <w:rFonts w:cs="Arial"/>
        </w:rPr>
        <w:t>-</w:t>
      </w:r>
      <w:r>
        <w:rPr>
          <w:rFonts w:cs="Arial"/>
        </w:rPr>
        <w:t xml:space="preserve"> acted as a powerful </w:t>
      </w:r>
      <w:r>
        <w:rPr>
          <w:rFonts w:cs="Arial"/>
          <w:b/>
          <w:bCs/>
        </w:rPr>
        <w:t>speculative catalyst</w:t>
      </w:r>
      <w:r>
        <w:rPr>
          <w:rFonts w:cs="Arial"/>
        </w:rPr>
        <w:t>: investors aggressively purchased cheap agricultural land along projected infrastructure corridors, anticipating massive valuation spikes upon road paving or utility connections.</w:t>
      </w:r>
      <w:hyperlink r:id="rId12" w:history="1">
        <w:r>
          <w:rPr>
            <w:rFonts w:cs="Arial"/>
            <w:color w:val="C4921A"/>
            <w:sz w:val="16"/>
            <w:szCs w:val="16"/>
            <w:u w:val="single" w:color="C4921A"/>
            <w:vertAlign w:val="superscript"/>
          </w:rPr>
          <w:t>[7]</w:t>
        </w:r>
      </w:hyperlink>
    </w:p>
    <w:p w14:paraId="0ADF7651"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3D025AB8" w14:textId="77777777">
        <w:tblPrEx>
          <w:tblCellMar>
            <w:top w:w="0" w:type="dxa"/>
            <w:bottom w:w="0" w:type="dxa"/>
          </w:tblCellMar>
        </w:tblPrEx>
        <w:tc>
          <w:tcPr>
            <w:tcW w:w="9000" w:type="dxa"/>
            <w:tcBorders>
              <w:top w:val="none" w:sz="0" w:space="0" w:color="FFFFFF"/>
              <w:left w:val="thick" w:sz="18" w:space="0" w:color="D4813A"/>
              <w:bottom w:val="none" w:sz="0" w:space="0" w:color="FFFFFF"/>
              <w:right w:val="none" w:sz="0" w:space="0" w:color="FFFFFF"/>
            </w:tcBorders>
            <w:shd w:val="clear" w:color="auto" w:fill="FFF8F0"/>
            <w:tcMar>
              <w:top w:w="130" w:type="dxa"/>
              <w:left w:w="220" w:type="dxa"/>
              <w:bottom w:w="130" w:type="dxa"/>
              <w:right w:w="160" w:type="dxa"/>
            </w:tcMar>
          </w:tcPr>
          <w:p w14:paraId="39CAC3D0" w14:textId="77777777" w:rsidR="003D7881" w:rsidRDefault="00000000" w:rsidP="00445CC5">
            <w:pPr>
              <w:spacing w:after="100"/>
              <w:jc w:val="both"/>
            </w:pPr>
            <w:r>
              <w:rPr>
                <w:rFonts w:cs="Arial"/>
                <w:b/>
                <w:bCs/>
                <w:caps/>
                <w:color w:val="A0522D"/>
                <w:sz w:val="17"/>
                <w:szCs w:val="17"/>
              </w:rPr>
              <w:t>Impact</w:t>
            </w:r>
          </w:p>
          <w:p w14:paraId="32C6D9DB" w14:textId="77777777" w:rsidR="003D7881" w:rsidRDefault="00000000" w:rsidP="00445CC5">
            <w:pPr>
              <w:pStyle w:val="ListParagraph"/>
              <w:numPr>
                <w:ilvl w:val="0"/>
                <w:numId w:val="2"/>
              </w:numPr>
              <w:spacing w:after="80"/>
              <w:jc w:val="both"/>
            </w:pPr>
            <w:r>
              <w:rPr>
                <w:b/>
                <w:bCs/>
                <w:sz w:val="19"/>
                <w:szCs w:val="19"/>
              </w:rPr>
              <w:t xml:space="preserve">Severe, </w:t>
            </w:r>
            <w:proofErr w:type="spellStart"/>
            <w:r>
              <w:rPr>
                <w:b/>
                <w:bCs/>
                <w:sz w:val="19"/>
                <w:szCs w:val="19"/>
              </w:rPr>
              <w:t>localised</w:t>
            </w:r>
            <w:proofErr w:type="spellEnd"/>
            <w:r>
              <w:rPr>
                <w:b/>
                <w:bCs/>
                <w:sz w:val="19"/>
                <w:szCs w:val="19"/>
              </w:rPr>
              <w:t xml:space="preserve"> land scarcity</w:t>
            </w:r>
            <w:r>
              <w:rPr>
                <w:sz w:val="19"/>
                <w:szCs w:val="19"/>
              </w:rPr>
              <w:t xml:space="preserve"> in major cities; extreme spatial imbalances in real estate demand</w:t>
            </w:r>
          </w:p>
          <w:p w14:paraId="11A0717D" w14:textId="74730D1D" w:rsidR="003D7881" w:rsidRDefault="00000000" w:rsidP="00445CC5">
            <w:pPr>
              <w:pStyle w:val="ListParagraph"/>
              <w:numPr>
                <w:ilvl w:val="0"/>
                <w:numId w:val="2"/>
              </w:numPr>
              <w:spacing w:after="80"/>
              <w:jc w:val="both"/>
            </w:pPr>
            <w:r>
              <w:rPr>
                <w:b/>
                <w:bCs/>
                <w:sz w:val="19"/>
                <w:szCs w:val="19"/>
              </w:rPr>
              <w:t>Relentless, unregulated fragmentation of peri-urban agricultural land</w:t>
            </w:r>
            <w:r>
              <w:rPr>
                <w:sz w:val="19"/>
                <w:szCs w:val="19"/>
              </w:rPr>
              <w:t xml:space="preserve"> to meet housing demand </w:t>
            </w:r>
            <w:r w:rsidR="00445CC5">
              <w:rPr>
                <w:sz w:val="19"/>
                <w:szCs w:val="19"/>
              </w:rPr>
              <w:t>-</w:t>
            </w:r>
            <w:r>
              <w:rPr>
                <w:sz w:val="19"/>
                <w:szCs w:val="19"/>
              </w:rPr>
              <w:t xml:space="preserve"> eroding the agricultural base</w:t>
            </w:r>
            <w:hyperlink r:id="rId13" w:history="1">
              <w:r>
                <w:rPr>
                  <w:color w:val="C4921A"/>
                  <w:sz w:val="16"/>
                  <w:szCs w:val="16"/>
                  <w:u w:val="single" w:color="C4921A"/>
                  <w:vertAlign w:val="superscript"/>
                </w:rPr>
                <w:t>[11]</w:t>
              </w:r>
            </w:hyperlink>
          </w:p>
          <w:p w14:paraId="532E9476" w14:textId="77777777" w:rsidR="003D7881" w:rsidRDefault="00000000" w:rsidP="00445CC5">
            <w:pPr>
              <w:pStyle w:val="ListParagraph"/>
              <w:numPr>
                <w:ilvl w:val="0"/>
                <w:numId w:val="2"/>
              </w:numPr>
              <w:spacing w:after="80"/>
              <w:jc w:val="both"/>
            </w:pPr>
            <w:r>
              <w:rPr>
                <w:sz w:val="19"/>
                <w:szCs w:val="19"/>
              </w:rPr>
              <w:t>Artificial inflation of per-square-</w:t>
            </w:r>
            <w:proofErr w:type="spellStart"/>
            <w:r>
              <w:rPr>
                <w:sz w:val="19"/>
                <w:szCs w:val="19"/>
              </w:rPr>
              <w:t>metre</w:t>
            </w:r>
            <w:proofErr w:type="spellEnd"/>
            <w:r>
              <w:rPr>
                <w:sz w:val="19"/>
                <w:szCs w:val="19"/>
              </w:rPr>
              <w:t xml:space="preserve"> valuations in suburban areas</w:t>
            </w:r>
          </w:p>
        </w:tc>
      </w:tr>
    </w:tbl>
    <w:p w14:paraId="1E5F153F" w14:textId="77777777" w:rsidR="003D7881" w:rsidRDefault="003D7881" w:rsidP="00445CC5">
      <w:pPr>
        <w:spacing w:after="140"/>
        <w:jc w:val="both"/>
      </w:pPr>
    </w:p>
    <w:p w14:paraId="40BEC18B" w14:textId="77777777" w:rsidR="003D7881" w:rsidRDefault="003D7881" w:rsidP="00445CC5">
      <w:pPr>
        <w:pBdr>
          <w:bottom w:val="single" w:sz="4" w:space="1" w:color="D6D0C8"/>
        </w:pBdr>
        <w:spacing w:before="240" w:after="240"/>
        <w:jc w:val="both"/>
      </w:pPr>
    </w:p>
    <w:p w14:paraId="7113B90D" w14:textId="77777777" w:rsidR="003D7881" w:rsidRDefault="00000000" w:rsidP="00445CC5">
      <w:pPr>
        <w:pBdr>
          <w:left w:val="thick" w:sz="14" w:space="10" w:color="1E40AF"/>
        </w:pBdr>
        <w:spacing w:before="280" w:after="60"/>
        <w:ind w:left="220"/>
        <w:jc w:val="both"/>
      </w:pPr>
      <w:r>
        <w:rPr>
          <w:rFonts w:cs="Arial"/>
          <w:b/>
          <w:bCs/>
          <w:color w:val="555555"/>
          <w:sz w:val="18"/>
          <w:szCs w:val="18"/>
        </w:rPr>
        <w:t xml:space="preserve">2071–2081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2014–2024 AD (</w:t>
      </w:r>
      <w:proofErr w:type="gramStart"/>
      <w:r>
        <w:rPr>
          <w:rFonts w:cs="Arial"/>
          <w:b/>
          <w:bCs/>
          <w:color w:val="555555"/>
          <w:sz w:val="18"/>
          <w:szCs w:val="18"/>
        </w:rPr>
        <w:t>Ongoing)</w:t>
      </w:r>
      <w:r>
        <w:rPr>
          <w:rFonts w:cs="Arial"/>
          <w:sz w:val="18"/>
          <w:szCs w:val="18"/>
        </w:rPr>
        <w:t xml:space="preserve">   </w:t>
      </w:r>
      <w:proofErr w:type="gramEnd"/>
      <w:r>
        <w:rPr>
          <w:rFonts w:cs="Arial"/>
          <w:sz w:val="18"/>
          <w:szCs w:val="18"/>
        </w:rPr>
        <w:t xml:space="preserve">     </w:t>
      </w:r>
      <w:r>
        <w:rPr>
          <w:rFonts w:cs="Arial"/>
          <w:b/>
          <w:bCs/>
          <w:color w:val="1E40AF"/>
          <w:sz w:val="18"/>
          <w:szCs w:val="18"/>
        </w:rPr>
        <w:t>◆ MACROECONOMIC</w:t>
      </w:r>
    </w:p>
    <w:p w14:paraId="1CAF1379" w14:textId="1301AD9A" w:rsidR="003D7881" w:rsidRDefault="00000000" w:rsidP="00445CC5">
      <w:pPr>
        <w:pBdr>
          <w:left w:val="thick" w:sz="14" w:space="10" w:color="DDDDDD"/>
        </w:pBdr>
        <w:spacing w:before="60" w:after="160"/>
        <w:ind w:left="220"/>
        <w:jc w:val="both"/>
      </w:pPr>
      <w:r>
        <w:rPr>
          <w:rFonts w:cs="Arial"/>
          <w:b/>
          <w:bCs/>
          <w:sz w:val="26"/>
          <w:szCs w:val="26"/>
        </w:rPr>
        <w:lastRenderedPageBreak/>
        <w:t xml:space="preserve">Sustained Remittance Inflows </w:t>
      </w:r>
      <w:r w:rsidR="00445CC5">
        <w:rPr>
          <w:rFonts w:cs="Arial"/>
          <w:b/>
          <w:bCs/>
          <w:sz w:val="26"/>
          <w:szCs w:val="26"/>
        </w:rPr>
        <w:t>-</w:t>
      </w:r>
      <w:r>
        <w:rPr>
          <w:rFonts w:cs="Arial"/>
          <w:b/>
          <w:bCs/>
          <w:sz w:val="26"/>
          <w:szCs w:val="26"/>
        </w:rPr>
        <w:t xml:space="preserve"> The Single Most Significant Macroeconomic Driver of the Boom</w:t>
      </w:r>
    </w:p>
    <w:p w14:paraId="038AC414" w14:textId="061439DB" w:rsidR="003D7881" w:rsidRDefault="00000000" w:rsidP="00445CC5">
      <w:pPr>
        <w:pBdr>
          <w:left w:val="thick" w:sz="6" w:space="10" w:color="EEEEEE"/>
        </w:pBdr>
        <w:spacing w:after="120"/>
        <w:ind w:left="220"/>
        <w:jc w:val="both"/>
      </w:pPr>
      <w:r>
        <w:rPr>
          <w:rFonts w:cs="Arial"/>
        </w:rPr>
        <w:t xml:space="preserve">Nepal consistently ranks among the highest remittance-receiving nations globally relative to GDP. Remittances historically account for between </w:t>
      </w:r>
      <w:r>
        <w:rPr>
          <w:rFonts w:cs="Arial"/>
          <w:b/>
          <w:bCs/>
        </w:rPr>
        <w:t>24% and 28.2% of GDP</w:t>
      </w:r>
      <w:r>
        <w:rPr>
          <w:rFonts w:cs="Arial"/>
        </w:rPr>
        <w:t>.</w:t>
      </w:r>
      <w:hyperlink r:id="rId14" w:history="1">
        <w:r>
          <w:rPr>
            <w:rFonts w:cs="Arial"/>
            <w:color w:val="C4921A"/>
            <w:sz w:val="16"/>
            <w:szCs w:val="16"/>
            <w:u w:val="single" w:color="C4921A"/>
            <w:vertAlign w:val="superscript"/>
          </w:rPr>
          <w:t>[12]</w:t>
        </w:r>
      </w:hyperlink>
      <w:r>
        <w:rPr>
          <w:rFonts w:cs="Arial"/>
        </w:rPr>
        <w:t xml:space="preserve"> Over the last ten years, official remittance volumes grew at an impressive </w:t>
      </w:r>
      <w:r>
        <w:rPr>
          <w:rFonts w:cs="Arial"/>
          <w:b/>
          <w:bCs/>
        </w:rPr>
        <w:t>annualized rate of approximately 10%</w:t>
      </w:r>
      <w:r>
        <w:rPr>
          <w:rFonts w:cs="Arial"/>
        </w:rPr>
        <w:t xml:space="preserve"> </w:t>
      </w:r>
      <w:r w:rsidR="00445CC5">
        <w:rPr>
          <w:rFonts w:cs="Arial"/>
        </w:rPr>
        <w:t>-</w:t>
      </w:r>
      <w:r>
        <w:rPr>
          <w:rFonts w:cs="Arial"/>
        </w:rPr>
        <w:t xml:space="preserve"> a critical macroeconomic stabilizer, primary engine for poverty reduction, and the bedrock of the nation's foreign exchange reserves.</w:t>
      </w:r>
      <w:hyperlink r:id="rId15" w:history="1">
        <w:r>
          <w:rPr>
            <w:rFonts w:cs="Arial"/>
            <w:color w:val="C4921A"/>
            <w:sz w:val="16"/>
            <w:szCs w:val="16"/>
            <w:u w:val="single" w:color="C4921A"/>
            <w:vertAlign w:val="superscript"/>
          </w:rPr>
          <w:t>[13]</w:t>
        </w:r>
      </w:hyperlink>
    </w:p>
    <w:p w14:paraId="7D90F2CD" w14:textId="74B05AF1" w:rsidR="003D7881" w:rsidRDefault="00000000" w:rsidP="00445CC5">
      <w:pPr>
        <w:pBdr>
          <w:left w:val="thick" w:sz="6" w:space="10" w:color="EEEEEE"/>
        </w:pBdr>
        <w:spacing w:after="120"/>
        <w:ind w:left="220"/>
        <w:jc w:val="both"/>
      </w:pPr>
      <w:r>
        <w:rPr>
          <w:rFonts w:cs="Arial"/>
        </w:rPr>
        <w:t xml:space="preserve">The transmission mechanism operates through a highly pronounced </w:t>
      </w:r>
      <w:r>
        <w:rPr>
          <w:rFonts w:cs="Arial"/>
          <w:b/>
          <w:bCs/>
        </w:rPr>
        <w:t>"wealth effect."</w:t>
      </w:r>
      <w:r>
        <w:rPr>
          <w:rFonts w:cs="Arial"/>
        </w:rPr>
        <w:t xml:space="preserve"> Surplus capital from migrant workers </w:t>
      </w:r>
      <w:r w:rsidR="00445CC5">
        <w:rPr>
          <w:rFonts w:cs="Arial"/>
        </w:rPr>
        <w:t>-</w:t>
      </w:r>
      <w:r>
        <w:rPr>
          <w:rFonts w:cs="Arial"/>
        </w:rPr>
        <w:t xml:space="preserve"> primarily in GCC countries, Malaysia, and India </w:t>
      </w:r>
      <w:r w:rsidR="00445CC5">
        <w:rPr>
          <w:rFonts w:cs="Arial"/>
        </w:rPr>
        <w:t>-</w:t>
      </w:r>
      <w:r>
        <w:rPr>
          <w:rFonts w:cs="Arial"/>
        </w:rPr>
        <w:t xml:space="preserve"> is overwhelmingly </w:t>
      </w:r>
      <w:proofErr w:type="spellStart"/>
      <w:r>
        <w:rPr>
          <w:rFonts w:cs="Arial"/>
        </w:rPr>
        <w:t>funnelled</w:t>
      </w:r>
      <w:proofErr w:type="spellEnd"/>
      <w:r>
        <w:rPr>
          <w:rFonts w:cs="Arial"/>
        </w:rPr>
        <w:t xml:space="preserve"> into real estate and land purchases.</w:t>
      </w:r>
      <w:hyperlink r:id="rId16" w:history="1">
        <w:r>
          <w:rPr>
            <w:rFonts w:cs="Arial"/>
            <w:color w:val="C4921A"/>
            <w:sz w:val="16"/>
            <w:szCs w:val="16"/>
            <w:u w:val="single" w:color="C4921A"/>
            <w:vertAlign w:val="superscript"/>
          </w:rPr>
          <w:t>[14]</w:t>
        </w:r>
      </w:hyperlink>
      <w:hyperlink r:id="rId17" w:history="1">
        <w:r>
          <w:rPr>
            <w:rFonts w:cs="Arial"/>
            <w:color w:val="C4921A"/>
            <w:sz w:val="16"/>
            <w:szCs w:val="16"/>
            <w:u w:val="single" w:color="C4921A"/>
            <w:vertAlign w:val="superscript"/>
          </w:rPr>
          <w:t>[15]</w:t>
        </w:r>
      </w:hyperlink>
      <w:r>
        <w:rPr>
          <w:rFonts w:cs="Arial"/>
        </w:rPr>
        <w:t xml:space="preserve"> Academic studies confirm the implicit application of the </w:t>
      </w:r>
      <w:r>
        <w:rPr>
          <w:rFonts w:cs="Arial"/>
          <w:b/>
          <w:bCs/>
        </w:rPr>
        <w:t xml:space="preserve">Lewisian theory of unlimited </w:t>
      </w:r>
      <w:proofErr w:type="spellStart"/>
      <w:r>
        <w:rPr>
          <w:rFonts w:cs="Arial"/>
          <w:b/>
          <w:bCs/>
        </w:rPr>
        <w:t>labour</w:t>
      </w:r>
      <w:proofErr w:type="spellEnd"/>
      <w:r>
        <w:rPr>
          <w:rFonts w:cs="Arial"/>
          <w:b/>
          <w:bCs/>
        </w:rPr>
        <w:t xml:space="preserve"> supply</w:t>
      </w:r>
      <w:r>
        <w:rPr>
          <w:rFonts w:cs="Arial"/>
        </w:rPr>
        <w:t xml:space="preserve">: repatriated capital systematically inflates domestic asset prices </w:t>
      </w:r>
      <w:r w:rsidR="00445CC5">
        <w:rPr>
          <w:rFonts w:cs="Arial"/>
        </w:rPr>
        <w:t>-</w:t>
      </w:r>
      <w:r>
        <w:rPr>
          <w:rFonts w:cs="Arial"/>
        </w:rPr>
        <w:t xml:space="preserve"> particularly land </w:t>
      </w:r>
      <w:r w:rsidR="00445CC5">
        <w:rPr>
          <w:rFonts w:cs="Arial"/>
        </w:rPr>
        <w:t>-</w:t>
      </w:r>
      <w:r>
        <w:rPr>
          <w:rFonts w:cs="Arial"/>
        </w:rPr>
        <w:t xml:space="preserve"> back in home districts.</w:t>
      </w:r>
      <w:hyperlink r:id="rId18" w:history="1">
        <w:r>
          <w:rPr>
            <w:rFonts w:cs="Arial"/>
            <w:color w:val="C4921A"/>
            <w:sz w:val="16"/>
            <w:szCs w:val="16"/>
            <w:u w:val="single" w:color="C4921A"/>
            <w:vertAlign w:val="superscript"/>
          </w:rPr>
          <w:t>[13]</w:t>
        </w:r>
      </w:hyperlink>
    </w:p>
    <w:p w14:paraId="3CBFA3E0" w14:textId="77777777" w:rsidR="003D7881" w:rsidRDefault="00000000" w:rsidP="00445CC5">
      <w:pPr>
        <w:pBdr>
          <w:left w:val="thick" w:sz="6" w:space="10" w:color="EEEEEE"/>
        </w:pBdr>
        <w:spacing w:after="120"/>
        <w:ind w:left="220"/>
        <w:jc w:val="both"/>
      </w:pPr>
      <w:r>
        <w:rPr>
          <w:rFonts w:cs="Arial"/>
        </w:rPr>
        <w:t xml:space="preserve">This continuous injection of diaspora capital effectively </w:t>
      </w:r>
      <w:r>
        <w:rPr>
          <w:rFonts w:cs="Arial"/>
          <w:b/>
          <w:bCs/>
        </w:rPr>
        <w:t>decoupled urban and peri-urban land prices from domestic wage growth</w:t>
      </w:r>
      <w:r>
        <w:rPr>
          <w:rFonts w:cs="Arial"/>
        </w:rPr>
        <w:t xml:space="preserve"> and local industrial productivity metrics, sparking concerns of a </w:t>
      </w:r>
      <w:proofErr w:type="spellStart"/>
      <w:r>
        <w:rPr>
          <w:rFonts w:cs="Arial"/>
        </w:rPr>
        <w:t>localised</w:t>
      </w:r>
      <w:proofErr w:type="spellEnd"/>
      <w:r>
        <w:rPr>
          <w:rFonts w:cs="Arial"/>
        </w:rPr>
        <w:t xml:space="preserve"> Dutch Disease where the influx of foreign capital renders non-tradable sectors (like real estate) hyper-inflated.</w:t>
      </w:r>
      <w:hyperlink r:id="rId19" w:history="1">
        <w:r>
          <w:rPr>
            <w:rFonts w:cs="Arial"/>
            <w:color w:val="C4921A"/>
            <w:sz w:val="16"/>
            <w:szCs w:val="16"/>
            <w:u w:val="single" w:color="C4921A"/>
            <w:vertAlign w:val="superscript"/>
          </w:rPr>
          <w:t>[16]</w:t>
        </w:r>
      </w:hyperlink>
      <w:hyperlink r:id="rId20" w:history="1">
        <w:r>
          <w:rPr>
            <w:rFonts w:cs="Arial"/>
            <w:color w:val="C4921A"/>
            <w:sz w:val="16"/>
            <w:szCs w:val="16"/>
            <w:u w:val="single" w:color="C4921A"/>
            <w:vertAlign w:val="superscript"/>
          </w:rPr>
          <w:t>[65]</w:t>
        </w:r>
      </w:hyperlink>
    </w:p>
    <w:p w14:paraId="1EFE9687"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24B57F0B" w14:textId="77777777">
        <w:tblPrEx>
          <w:tblCellMar>
            <w:top w:w="0" w:type="dxa"/>
            <w:bottom w:w="0" w:type="dxa"/>
          </w:tblCellMar>
        </w:tblPrEx>
        <w:tc>
          <w:tcPr>
            <w:tcW w:w="9000" w:type="dxa"/>
            <w:tcBorders>
              <w:top w:val="none" w:sz="0" w:space="0" w:color="FFFFFF"/>
              <w:left w:val="thick" w:sz="18" w:space="0" w:color="2563AA"/>
              <w:bottom w:val="none" w:sz="0" w:space="0" w:color="FFFFFF"/>
              <w:right w:val="none" w:sz="0" w:space="0" w:color="FFFFFF"/>
            </w:tcBorders>
            <w:shd w:val="clear" w:color="auto" w:fill="EFF6FF"/>
            <w:tcMar>
              <w:top w:w="130" w:type="dxa"/>
              <w:left w:w="220" w:type="dxa"/>
              <w:bottom w:w="130" w:type="dxa"/>
              <w:right w:w="160" w:type="dxa"/>
            </w:tcMar>
          </w:tcPr>
          <w:p w14:paraId="27E17DD4" w14:textId="77777777" w:rsidR="003D7881" w:rsidRDefault="00000000" w:rsidP="00445CC5">
            <w:pPr>
              <w:spacing w:after="100"/>
              <w:jc w:val="both"/>
            </w:pPr>
            <w:r>
              <w:rPr>
                <w:rFonts w:cs="Arial"/>
                <w:b/>
                <w:bCs/>
                <w:caps/>
                <w:color w:val="1A3A6E"/>
                <w:sz w:val="17"/>
                <w:szCs w:val="17"/>
              </w:rPr>
              <w:t>Economic Theory: Dutch Disease Risk</w:t>
            </w:r>
          </w:p>
          <w:p w14:paraId="10A4FE1E" w14:textId="3BF4E8CA" w:rsidR="003D7881" w:rsidRDefault="00000000" w:rsidP="00445CC5">
            <w:pPr>
              <w:spacing w:after="90"/>
              <w:jc w:val="both"/>
            </w:pPr>
            <w:r>
              <w:rPr>
                <w:rFonts w:cs="Arial"/>
                <w:b/>
                <w:bCs/>
                <w:sz w:val="19"/>
                <w:szCs w:val="19"/>
              </w:rPr>
              <w:t xml:space="preserve">Dutch Disease Mechanism: </w:t>
            </w:r>
            <w:r>
              <w:rPr>
                <w:rFonts w:cs="Arial"/>
                <w:sz w:val="19"/>
                <w:szCs w:val="19"/>
              </w:rPr>
              <w:t xml:space="preserve">The valuation of Nepal's real estate became a derivative of foreign </w:t>
            </w:r>
            <w:proofErr w:type="spellStart"/>
            <w:r>
              <w:rPr>
                <w:rFonts w:cs="Arial"/>
                <w:sz w:val="19"/>
                <w:szCs w:val="19"/>
              </w:rPr>
              <w:t>labour</w:t>
            </w:r>
            <w:proofErr w:type="spellEnd"/>
            <w:r>
              <w:rPr>
                <w:rFonts w:cs="Arial"/>
                <w:sz w:val="19"/>
                <w:szCs w:val="19"/>
              </w:rPr>
              <w:t xml:space="preserve"> market dynamics rather than internal economic output. As overseas wages drove remittance inflows, domestic land prices inflated independently of local productivity </w:t>
            </w:r>
            <w:r w:rsidR="00445CC5">
              <w:rPr>
                <w:rFonts w:cs="Arial"/>
                <w:sz w:val="19"/>
                <w:szCs w:val="19"/>
              </w:rPr>
              <w:t>-</w:t>
            </w:r>
            <w:r>
              <w:rPr>
                <w:rFonts w:cs="Arial"/>
                <w:sz w:val="19"/>
                <w:szCs w:val="19"/>
              </w:rPr>
              <w:t xml:space="preserve"> a classic symptom of Dutch Disease in a non-tradable sector.</w:t>
            </w:r>
            <w:hyperlink r:id="rId21" w:history="1">
              <w:r>
                <w:rPr>
                  <w:rFonts w:cs="Arial"/>
                  <w:color w:val="C4921A"/>
                  <w:sz w:val="16"/>
                  <w:szCs w:val="16"/>
                  <w:u w:val="single" w:color="C4921A"/>
                  <w:vertAlign w:val="superscript"/>
                </w:rPr>
                <w:t>[16]</w:t>
              </w:r>
            </w:hyperlink>
            <w:hyperlink r:id="rId22" w:history="1">
              <w:r>
                <w:rPr>
                  <w:rFonts w:cs="Arial"/>
                  <w:color w:val="C4921A"/>
                  <w:sz w:val="16"/>
                  <w:szCs w:val="16"/>
                  <w:u w:val="single" w:color="C4921A"/>
                  <w:vertAlign w:val="superscript"/>
                </w:rPr>
                <w:t>[65]</w:t>
              </w:r>
            </w:hyperlink>
          </w:p>
        </w:tc>
      </w:tr>
    </w:tbl>
    <w:p w14:paraId="61D7A109" w14:textId="77777777" w:rsidR="003D7881" w:rsidRDefault="003D7881" w:rsidP="00445CC5">
      <w:pPr>
        <w:spacing w:after="8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0770975F" w14:textId="77777777">
        <w:tblPrEx>
          <w:tblCellMar>
            <w:top w:w="0" w:type="dxa"/>
            <w:bottom w:w="0" w:type="dxa"/>
          </w:tblCellMar>
        </w:tblPrEx>
        <w:tc>
          <w:tcPr>
            <w:tcW w:w="9000" w:type="dxa"/>
            <w:tcBorders>
              <w:top w:val="none" w:sz="0" w:space="0" w:color="FFFFFF"/>
              <w:left w:val="thick" w:sz="18" w:space="0" w:color="D4813A"/>
              <w:bottom w:val="none" w:sz="0" w:space="0" w:color="FFFFFF"/>
              <w:right w:val="none" w:sz="0" w:space="0" w:color="FFFFFF"/>
            </w:tcBorders>
            <w:shd w:val="clear" w:color="auto" w:fill="FFF8F0"/>
            <w:tcMar>
              <w:top w:w="130" w:type="dxa"/>
              <w:left w:w="220" w:type="dxa"/>
              <w:bottom w:w="130" w:type="dxa"/>
              <w:right w:w="160" w:type="dxa"/>
            </w:tcMar>
          </w:tcPr>
          <w:p w14:paraId="2849C085" w14:textId="77777777" w:rsidR="003D7881" w:rsidRDefault="00000000" w:rsidP="00445CC5">
            <w:pPr>
              <w:spacing w:after="100"/>
              <w:jc w:val="both"/>
            </w:pPr>
            <w:r>
              <w:rPr>
                <w:rFonts w:cs="Arial"/>
                <w:b/>
                <w:bCs/>
                <w:caps/>
                <w:color w:val="A0522D"/>
                <w:sz w:val="17"/>
                <w:szCs w:val="17"/>
              </w:rPr>
              <w:t>Impact</w:t>
            </w:r>
          </w:p>
          <w:p w14:paraId="306B7786" w14:textId="77777777" w:rsidR="003D7881" w:rsidRDefault="00000000" w:rsidP="00445CC5">
            <w:pPr>
              <w:pStyle w:val="ListParagraph"/>
              <w:numPr>
                <w:ilvl w:val="0"/>
                <w:numId w:val="2"/>
              </w:numPr>
              <w:spacing w:after="80"/>
              <w:jc w:val="both"/>
            </w:pPr>
            <w:r>
              <w:rPr>
                <w:sz w:val="19"/>
                <w:szCs w:val="19"/>
              </w:rPr>
              <w:t>Sustained, highly inelastic demand for real estate throughout the decade</w:t>
            </w:r>
          </w:p>
          <w:p w14:paraId="25D514EA" w14:textId="77777777" w:rsidR="003D7881" w:rsidRDefault="00000000" w:rsidP="00445CC5">
            <w:pPr>
              <w:pStyle w:val="ListParagraph"/>
              <w:numPr>
                <w:ilvl w:val="0"/>
                <w:numId w:val="2"/>
              </w:numPr>
              <w:spacing w:after="80"/>
              <w:jc w:val="both"/>
            </w:pPr>
            <w:r>
              <w:rPr>
                <w:sz w:val="19"/>
                <w:szCs w:val="19"/>
              </w:rPr>
              <w:t>Urban and peri-urban land prices entirely decoupled from local wages and industrial productivity</w:t>
            </w:r>
          </w:p>
          <w:p w14:paraId="7A90288D" w14:textId="77777777" w:rsidR="003D7881" w:rsidRDefault="00000000" w:rsidP="00445CC5">
            <w:pPr>
              <w:pStyle w:val="ListParagraph"/>
              <w:numPr>
                <w:ilvl w:val="0"/>
                <w:numId w:val="2"/>
              </w:numPr>
              <w:spacing w:after="80"/>
              <w:jc w:val="both"/>
            </w:pPr>
            <w:r>
              <w:rPr>
                <w:sz w:val="19"/>
                <w:szCs w:val="19"/>
              </w:rPr>
              <w:t xml:space="preserve">Market made uniquely vulnerable to external shocks in overseas </w:t>
            </w:r>
            <w:proofErr w:type="spellStart"/>
            <w:r>
              <w:rPr>
                <w:sz w:val="19"/>
                <w:szCs w:val="19"/>
              </w:rPr>
              <w:t>labour</w:t>
            </w:r>
            <w:proofErr w:type="spellEnd"/>
            <w:r>
              <w:rPr>
                <w:sz w:val="19"/>
                <w:szCs w:val="19"/>
              </w:rPr>
              <w:t xml:space="preserve"> markets</w:t>
            </w:r>
          </w:p>
        </w:tc>
      </w:tr>
    </w:tbl>
    <w:p w14:paraId="056BCB71" w14:textId="77777777" w:rsidR="003D7881" w:rsidRDefault="003D7881" w:rsidP="00445CC5">
      <w:pPr>
        <w:spacing w:after="140"/>
        <w:jc w:val="both"/>
      </w:pPr>
    </w:p>
    <w:p w14:paraId="13685CCF" w14:textId="77777777" w:rsidR="003D7881" w:rsidRDefault="003D7881" w:rsidP="00445CC5">
      <w:pPr>
        <w:pBdr>
          <w:bottom w:val="single" w:sz="4" w:space="1" w:color="D6D0C8"/>
        </w:pBdr>
        <w:spacing w:before="240" w:after="240"/>
        <w:jc w:val="both"/>
      </w:pPr>
    </w:p>
    <w:p w14:paraId="25BD31DD" w14:textId="77777777" w:rsidR="003D7881" w:rsidRDefault="00000000" w:rsidP="00445CC5">
      <w:pPr>
        <w:pBdr>
          <w:left w:val="thick" w:sz="14" w:space="10" w:color="7C5C3E"/>
        </w:pBdr>
        <w:spacing w:before="280" w:after="60"/>
        <w:ind w:left="220"/>
        <w:jc w:val="both"/>
      </w:pPr>
      <w:r>
        <w:rPr>
          <w:rFonts w:cs="Arial"/>
          <w:b/>
          <w:bCs/>
          <w:color w:val="555555"/>
          <w:sz w:val="18"/>
          <w:szCs w:val="18"/>
        </w:rPr>
        <w:t xml:space="preserve">2071–2077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2014–2020 AD</w:t>
      </w:r>
      <w:r>
        <w:rPr>
          <w:rFonts w:cs="Arial"/>
          <w:sz w:val="18"/>
          <w:szCs w:val="18"/>
        </w:rPr>
        <w:t xml:space="preserve">        </w:t>
      </w:r>
      <w:r>
        <w:rPr>
          <w:rFonts w:cs="Arial"/>
          <w:b/>
          <w:bCs/>
          <w:color w:val="7C5C3E"/>
          <w:sz w:val="18"/>
          <w:szCs w:val="18"/>
        </w:rPr>
        <w:t>◆ STRUCTURAL DRIVER</w:t>
      </w:r>
    </w:p>
    <w:p w14:paraId="662EBBC2" w14:textId="77777777" w:rsidR="003D7881" w:rsidRDefault="00000000" w:rsidP="00445CC5">
      <w:pPr>
        <w:pBdr>
          <w:left w:val="thick" w:sz="14" w:space="10" w:color="DDDDDD"/>
        </w:pBdr>
        <w:spacing w:before="60" w:after="160"/>
        <w:ind w:left="220"/>
        <w:jc w:val="both"/>
      </w:pPr>
      <w:r>
        <w:rPr>
          <w:rFonts w:cs="Arial"/>
          <w:b/>
          <w:bCs/>
          <w:sz w:val="26"/>
          <w:szCs w:val="26"/>
        </w:rPr>
        <w:t xml:space="preserve">Speculative Investment </w:t>
      </w:r>
      <w:proofErr w:type="spellStart"/>
      <w:r>
        <w:rPr>
          <w:rFonts w:cs="Arial"/>
          <w:b/>
          <w:bCs/>
          <w:sz w:val="26"/>
          <w:szCs w:val="26"/>
        </w:rPr>
        <w:t>Behaviour</w:t>
      </w:r>
      <w:proofErr w:type="spellEnd"/>
      <w:r>
        <w:rPr>
          <w:rFonts w:cs="Arial"/>
          <w:b/>
          <w:bCs/>
          <w:sz w:val="26"/>
          <w:szCs w:val="26"/>
        </w:rPr>
        <w:t xml:space="preserve"> &amp; Cognitive Biases Transform Land </w:t>
      </w:r>
      <w:proofErr w:type="gramStart"/>
      <w:r>
        <w:rPr>
          <w:rFonts w:cs="Arial"/>
          <w:b/>
          <w:bCs/>
          <w:sz w:val="26"/>
          <w:szCs w:val="26"/>
        </w:rPr>
        <w:t>Into</w:t>
      </w:r>
      <w:proofErr w:type="gramEnd"/>
      <w:r>
        <w:rPr>
          <w:rFonts w:cs="Arial"/>
          <w:b/>
          <w:bCs/>
          <w:sz w:val="26"/>
          <w:szCs w:val="26"/>
        </w:rPr>
        <w:t xml:space="preserve"> a Financial Instrument</w:t>
      </w:r>
    </w:p>
    <w:p w14:paraId="29E5DE77" w14:textId="77777777" w:rsidR="003D7881" w:rsidRDefault="00000000" w:rsidP="00445CC5">
      <w:pPr>
        <w:pBdr>
          <w:left w:val="thick" w:sz="6" w:space="10" w:color="EEEEEE"/>
        </w:pBdr>
        <w:spacing w:after="120"/>
        <w:ind w:left="220"/>
        <w:jc w:val="both"/>
      </w:pPr>
      <w:r>
        <w:rPr>
          <w:rFonts w:cs="Arial"/>
        </w:rPr>
        <w:t xml:space="preserve">Academic content analysis of investor </w:t>
      </w:r>
      <w:proofErr w:type="spellStart"/>
      <w:r>
        <w:rPr>
          <w:rFonts w:cs="Arial"/>
        </w:rPr>
        <w:t>behaviour</w:t>
      </w:r>
      <w:proofErr w:type="spellEnd"/>
      <w:r>
        <w:rPr>
          <w:rFonts w:cs="Arial"/>
        </w:rPr>
        <w:t xml:space="preserve"> in Nepal reveals the market was heavily driven by </w:t>
      </w:r>
      <w:r>
        <w:rPr>
          <w:rFonts w:cs="Arial"/>
          <w:b/>
          <w:bCs/>
        </w:rPr>
        <w:t>cognitive dissonance, illusion of control, extreme over-optimism, and a powerful herd instinct.</w:t>
      </w:r>
      <w:hyperlink r:id="rId23" w:history="1">
        <w:r>
          <w:rPr>
            <w:rFonts w:cs="Arial"/>
            <w:color w:val="C4921A"/>
            <w:sz w:val="16"/>
            <w:szCs w:val="16"/>
            <w:u w:val="single" w:color="C4921A"/>
            <w:vertAlign w:val="superscript"/>
          </w:rPr>
          <w:t>[17]</w:t>
        </w:r>
      </w:hyperlink>
      <w:hyperlink r:id="rId24" w:history="1">
        <w:r>
          <w:rPr>
            <w:rFonts w:cs="Arial"/>
            <w:color w:val="C4921A"/>
            <w:sz w:val="16"/>
            <w:szCs w:val="16"/>
            <w:u w:val="single" w:color="C4921A"/>
            <w:vertAlign w:val="superscript"/>
          </w:rPr>
          <w:t>[18]</w:t>
        </w:r>
      </w:hyperlink>
      <w:r>
        <w:rPr>
          <w:rFonts w:cs="Arial"/>
        </w:rPr>
        <w:t xml:space="preserve"> Because real estate had historically generated outsized, often untaxed or severely under-taxed returns over twenty years, a deep-seated psychological consensus emerged that land prices "only go up."</w:t>
      </w:r>
    </w:p>
    <w:p w14:paraId="72943EAA" w14:textId="58C3E035" w:rsidR="003D7881" w:rsidRDefault="00000000" w:rsidP="00445CC5">
      <w:pPr>
        <w:pBdr>
          <w:left w:val="thick" w:sz="6" w:space="10" w:color="EEEEEE"/>
        </w:pBdr>
        <w:spacing w:after="120"/>
        <w:ind w:left="220"/>
        <w:jc w:val="both"/>
      </w:pPr>
      <w:r>
        <w:rPr>
          <w:rFonts w:cs="Arial"/>
        </w:rPr>
        <w:t xml:space="preserve">This herd mentality transformed land from a utility-based asset into a </w:t>
      </w:r>
      <w:r>
        <w:rPr>
          <w:rFonts w:cs="Arial"/>
          <w:b/>
          <w:bCs/>
        </w:rPr>
        <w:t>purely speculative financial instrument.</w:t>
      </w:r>
      <w:r>
        <w:rPr>
          <w:rFonts w:cs="Arial"/>
        </w:rPr>
        <w:t xml:space="preserve"> Investors routinely engaged in "flipping" land: informal syndicates would purchase large, undivided tracts of agricultural land, use heavy machinery for rudimentary clearing and levelling, rapidly subdivide the land into smaller marketable plots, and resell to the middle class.</w:t>
      </w:r>
      <w:hyperlink r:id="rId25" w:history="1">
        <w:r>
          <w:rPr>
            <w:rFonts w:cs="Arial"/>
            <w:color w:val="C4921A"/>
            <w:sz w:val="16"/>
            <w:szCs w:val="16"/>
            <w:u w:val="single" w:color="C4921A"/>
            <w:vertAlign w:val="superscript"/>
          </w:rPr>
          <w:t>[19]</w:t>
        </w:r>
      </w:hyperlink>
      <w:r>
        <w:rPr>
          <w:rFonts w:cs="Arial"/>
        </w:rPr>
        <w:t xml:space="preserve"> The market was driven predominantly by </w:t>
      </w:r>
      <w:r>
        <w:rPr>
          <w:rFonts w:cs="Arial"/>
          <w:b/>
          <w:bCs/>
        </w:rPr>
        <w:t>hard cash, informal lending, and undocumented wealth</w:t>
      </w:r>
      <w:r>
        <w:rPr>
          <w:rFonts w:cs="Arial"/>
        </w:rPr>
        <w:t xml:space="preserve"> </w:t>
      </w:r>
      <w:r w:rsidR="00445CC5">
        <w:rPr>
          <w:rFonts w:cs="Arial"/>
        </w:rPr>
        <w:t>-</w:t>
      </w:r>
      <w:r>
        <w:rPr>
          <w:rFonts w:cs="Arial"/>
        </w:rPr>
        <w:t xml:space="preserve"> rather than </w:t>
      </w:r>
      <w:proofErr w:type="spellStart"/>
      <w:r>
        <w:rPr>
          <w:rFonts w:cs="Arial"/>
        </w:rPr>
        <w:t>formalised</w:t>
      </w:r>
      <w:proofErr w:type="spellEnd"/>
      <w:r>
        <w:rPr>
          <w:rFonts w:cs="Arial"/>
        </w:rPr>
        <w:t xml:space="preserve"> mortgage leverage.</w:t>
      </w:r>
    </w:p>
    <w:p w14:paraId="3C34EBE1"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0E7300C9" w14:textId="77777777">
        <w:tblPrEx>
          <w:tblCellMar>
            <w:top w:w="0" w:type="dxa"/>
            <w:bottom w:w="0" w:type="dxa"/>
          </w:tblCellMar>
        </w:tblPrEx>
        <w:tc>
          <w:tcPr>
            <w:tcW w:w="9000" w:type="dxa"/>
            <w:tcBorders>
              <w:top w:val="none" w:sz="0" w:space="0" w:color="FFFFFF"/>
              <w:left w:val="thick" w:sz="18" w:space="0" w:color="D4813A"/>
              <w:bottom w:val="none" w:sz="0" w:space="0" w:color="FFFFFF"/>
              <w:right w:val="none" w:sz="0" w:space="0" w:color="FFFFFF"/>
            </w:tcBorders>
            <w:shd w:val="clear" w:color="auto" w:fill="FFF8F0"/>
            <w:tcMar>
              <w:top w:w="130" w:type="dxa"/>
              <w:left w:w="220" w:type="dxa"/>
              <w:bottom w:w="130" w:type="dxa"/>
              <w:right w:w="160" w:type="dxa"/>
            </w:tcMar>
          </w:tcPr>
          <w:p w14:paraId="5549F4C6" w14:textId="77777777" w:rsidR="003D7881" w:rsidRDefault="00000000" w:rsidP="00445CC5">
            <w:pPr>
              <w:spacing w:after="100"/>
              <w:jc w:val="both"/>
            </w:pPr>
            <w:r>
              <w:rPr>
                <w:rFonts w:cs="Arial"/>
                <w:b/>
                <w:bCs/>
                <w:caps/>
                <w:color w:val="A0522D"/>
                <w:sz w:val="17"/>
                <w:szCs w:val="17"/>
              </w:rPr>
              <w:t>Impact</w:t>
            </w:r>
          </w:p>
          <w:p w14:paraId="11402833" w14:textId="7971A0C7" w:rsidR="003D7881" w:rsidRDefault="00000000" w:rsidP="00445CC5">
            <w:pPr>
              <w:pStyle w:val="ListParagraph"/>
              <w:numPr>
                <w:ilvl w:val="0"/>
                <w:numId w:val="2"/>
              </w:numPr>
              <w:spacing w:after="80"/>
              <w:jc w:val="both"/>
            </w:pPr>
            <w:r>
              <w:rPr>
                <w:sz w:val="19"/>
                <w:szCs w:val="19"/>
              </w:rPr>
              <w:t xml:space="preserve">Massive artificial demand generated by speculative cycling </w:t>
            </w:r>
            <w:r w:rsidR="00445CC5">
              <w:rPr>
                <w:sz w:val="19"/>
                <w:szCs w:val="19"/>
              </w:rPr>
              <w:t>-</w:t>
            </w:r>
            <w:r>
              <w:rPr>
                <w:sz w:val="19"/>
                <w:szCs w:val="19"/>
              </w:rPr>
              <w:t xml:space="preserve"> land moved between speculators before ever reaching an end-user</w:t>
            </w:r>
          </w:p>
          <w:p w14:paraId="6552DEF4" w14:textId="77777777" w:rsidR="003D7881" w:rsidRDefault="00000000" w:rsidP="00445CC5">
            <w:pPr>
              <w:pStyle w:val="ListParagraph"/>
              <w:numPr>
                <w:ilvl w:val="0"/>
                <w:numId w:val="2"/>
              </w:numPr>
              <w:spacing w:after="80"/>
              <w:jc w:val="both"/>
            </w:pPr>
            <w:r>
              <w:rPr>
                <w:sz w:val="19"/>
                <w:szCs w:val="19"/>
              </w:rPr>
              <w:t>Affordability crisis for genuine homebuyers seeking to construct homes</w:t>
            </w:r>
          </w:p>
          <w:p w14:paraId="374019D9" w14:textId="77777777" w:rsidR="003D7881" w:rsidRDefault="00000000" w:rsidP="00445CC5">
            <w:pPr>
              <w:pStyle w:val="ListParagraph"/>
              <w:numPr>
                <w:ilvl w:val="0"/>
                <w:numId w:val="2"/>
              </w:numPr>
              <w:spacing w:after="80"/>
              <w:jc w:val="both"/>
            </w:pPr>
            <w:proofErr w:type="spellStart"/>
            <w:r>
              <w:rPr>
                <w:sz w:val="19"/>
                <w:szCs w:val="19"/>
              </w:rPr>
              <w:lastRenderedPageBreak/>
              <w:t>Localised</w:t>
            </w:r>
            <w:proofErr w:type="spellEnd"/>
            <w:r>
              <w:rPr>
                <w:sz w:val="19"/>
                <w:szCs w:val="19"/>
              </w:rPr>
              <w:t xml:space="preserve"> asset bubble driven predominantly by informal and undocumented capital</w:t>
            </w:r>
          </w:p>
          <w:p w14:paraId="312C6031" w14:textId="77777777" w:rsidR="003D7881" w:rsidRDefault="00000000" w:rsidP="00445CC5">
            <w:pPr>
              <w:pStyle w:val="ListParagraph"/>
              <w:numPr>
                <w:ilvl w:val="0"/>
                <w:numId w:val="2"/>
              </w:numPr>
              <w:spacing w:after="80"/>
              <w:jc w:val="both"/>
            </w:pPr>
            <w:r>
              <w:rPr>
                <w:sz w:val="19"/>
                <w:szCs w:val="19"/>
              </w:rPr>
              <w:t>Exacerbated the gap between speculative and utility-based land valuation</w:t>
            </w:r>
          </w:p>
        </w:tc>
      </w:tr>
    </w:tbl>
    <w:p w14:paraId="6CF1CF59" w14:textId="77777777" w:rsidR="003D7881" w:rsidRDefault="003D7881" w:rsidP="00445CC5">
      <w:pPr>
        <w:spacing w:after="140"/>
        <w:jc w:val="both"/>
      </w:pPr>
    </w:p>
    <w:p w14:paraId="13AC693E" w14:textId="77777777" w:rsidR="003D7881" w:rsidRDefault="003D7881" w:rsidP="00445CC5">
      <w:pPr>
        <w:pBdr>
          <w:bottom w:val="single" w:sz="4" w:space="1" w:color="D6D0C8"/>
        </w:pBdr>
        <w:spacing w:before="240" w:after="240"/>
        <w:jc w:val="both"/>
      </w:pPr>
    </w:p>
    <w:p w14:paraId="584E362E" w14:textId="77777777" w:rsidR="003D7881" w:rsidRDefault="00000000" w:rsidP="00445CC5">
      <w:pPr>
        <w:pBdr>
          <w:left w:val="thick" w:sz="14" w:space="10" w:color="7C5C3E"/>
        </w:pBdr>
        <w:spacing w:before="280" w:after="60"/>
        <w:ind w:left="220"/>
        <w:jc w:val="both"/>
      </w:pPr>
      <w:r>
        <w:rPr>
          <w:rFonts w:cs="Arial"/>
          <w:b/>
          <w:bCs/>
          <w:color w:val="555555"/>
          <w:sz w:val="18"/>
          <w:szCs w:val="18"/>
        </w:rPr>
        <w:t xml:space="preserve">2071–2077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2014–2020 AD</w:t>
      </w:r>
      <w:r>
        <w:rPr>
          <w:rFonts w:cs="Arial"/>
          <w:sz w:val="18"/>
          <w:szCs w:val="18"/>
        </w:rPr>
        <w:t xml:space="preserve">        </w:t>
      </w:r>
      <w:r>
        <w:rPr>
          <w:rFonts w:cs="Arial"/>
          <w:b/>
          <w:bCs/>
          <w:color w:val="7C5C3E"/>
          <w:sz w:val="18"/>
          <w:szCs w:val="18"/>
        </w:rPr>
        <w:t>◆ STRUCTURAL DRIVER</w:t>
      </w:r>
    </w:p>
    <w:p w14:paraId="4B816790" w14:textId="73AC32CF" w:rsidR="003D7881" w:rsidRDefault="00000000" w:rsidP="00445CC5">
      <w:pPr>
        <w:pBdr>
          <w:left w:val="thick" w:sz="14" w:space="10" w:color="DDDDDD"/>
        </w:pBdr>
        <w:spacing w:before="60" w:after="160"/>
        <w:ind w:left="220"/>
        <w:jc w:val="both"/>
      </w:pPr>
      <w:r>
        <w:rPr>
          <w:rFonts w:cs="Arial"/>
          <w:b/>
          <w:bCs/>
          <w:sz w:val="26"/>
          <w:szCs w:val="26"/>
        </w:rPr>
        <w:t xml:space="preserve">Vacuum of Alternative Investment Channels </w:t>
      </w:r>
      <w:r w:rsidR="00445CC5">
        <w:rPr>
          <w:rFonts w:cs="Arial"/>
          <w:b/>
          <w:bCs/>
          <w:sz w:val="26"/>
          <w:szCs w:val="26"/>
        </w:rPr>
        <w:t>-</w:t>
      </w:r>
      <w:r>
        <w:rPr>
          <w:rFonts w:cs="Arial"/>
          <w:b/>
          <w:bCs/>
          <w:sz w:val="26"/>
          <w:szCs w:val="26"/>
        </w:rPr>
        <w:t xml:space="preserve"> NEPSE Dysfunction &amp; Capital Account Restrictions Funnel Savings </w:t>
      </w:r>
      <w:proofErr w:type="gramStart"/>
      <w:r>
        <w:rPr>
          <w:rFonts w:cs="Arial"/>
          <w:b/>
          <w:bCs/>
          <w:sz w:val="26"/>
          <w:szCs w:val="26"/>
        </w:rPr>
        <w:t>Into</w:t>
      </w:r>
      <w:proofErr w:type="gramEnd"/>
      <w:r>
        <w:rPr>
          <w:rFonts w:cs="Arial"/>
          <w:b/>
          <w:bCs/>
          <w:sz w:val="26"/>
          <w:szCs w:val="26"/>
        </w:rPr>
        <w:t xml:space="preserve"> Land</w:t>
      </w:r>
    </w:p>
    <w:p w14:paraId="3E6EEBE2" w14:textId="43E6F4BD" w:rsidR="003D7881" w:rsidRDefault="00000000" w:rsidP="00445CC5">
      <w:pPr>
        <w:pBdr>
          <w:left w:val="thick" w:sz="6" w:space="10" w:color="EEEEEE"/>
        </w:pBdr>
        <w:spacing w:after="120"/>
        <w:ind w:left="220"/>
        <w:jc w:val="both"/>
      </w:pPr>
      <w:r>
        <w:rPr>
          <w:rFonts w:cs="Arial"/>
        </w:rPr>
        <w:t xml:space="preserve">The Nepal Stock Exchange (NEPSE) is </w:t>
      </w:r>
      <w:proofErr w:type="spellStart"/>
      <w:r>
        <w:rPr>
          <w:rFonts w:cs="Arial"/>
        </w:rPr>
        <w:t>characterised</w:t>
      </w:r>
      <w:proofErr w:type="spellEnd"/>
      <w:r>
        <w:rPr>
          <w:rFonts w:cs="Arial"/>
        </w:rPr>
        <w:t xml:space="preserve"> by extreme volatility, limited sectoral diversification, and a regulatory framework that often struggles to maintain investor confidence.</w:t>
      </w:r>
      <w:hyperlink r:id="rId26" w:history="1">
        <w:r>
          <w:rPr>
            <w:rFonts w:cs="Arial"/>
            <w:color w:val="C4921A"/>
            <w:sz w:val="16"/>
            <w:szCs w:val="16"/>
            <w:u w:val="single" w:color="C4921A"/>
            <w:vertAlign w:val="superscript"/>
          </w:rPr>
          <w:t>[20]</w:t>
        </w:r>
      </w:hyperlink>
      <w:r>
        <w:rPr>
          <w:rFonts w:cs="Arial"/>
        </w:rPr>
        <w:t xml:space="preserve"> NEPSE is overwhelmingly dominated by commercial banks, development banks, microfinance institutions, and hydropower companies </w:t>
      </w:r>
      <w:r w:rsidR="00445CC5">
        <w:rPr>
          <w:rFonts w:cs="Arial"/>
        </w:rPr>
        <w:t>-</w:t>
      </w:r>
      <w:r>
        <w:rPr>
          <w:rFonts w:cs="Arial"/>
        </w:rPr>
        <w:t xml:space="preserve"> offering investors very little exposure to real, manufacturing, or technology sectors.</w:t>
      </w:r>
      <w:hyperlink r:id="rId27" w:history="1">
        <w:r>
          <w:rPr>
            <w:rFonts w:cs="Arial"/>
            <w:color w:val="C4921A"/>
            <w:sz w:val="16"/>
            <w:szCs w:val="16"/>
            <w:u w:val="single" w:color="C4921A"/>
            <w:vertAlign w:val="superscript"/>
          </w:rPr>
          <w:t>[21]</w:t>
        </w:r>
      </w:hyperlink>
    </w:p>
    <w:p w14:paraId="405C1E82" w14:textId="715C0F98" w:rsidR="003D7881" w:rsidRDefault="00000000" w:rsidP="00445CC5">
      <w:pPr>
        <w:pBdr>
          <w:left w:val="thick" w:sz="6" w:space="10" w:color="EEEEEE"/>
        </w:pBdr>
        <w:spacing w:after="120"/>
        <w:ind w:left="220"/>
        <w:jc w:val="both"/>
      </w:pPr>
      <w:r>
        <w:rPr>
          <w:rFonts w:cs="Arial"/>
        </w:rPr>
        <w:t xml:space="preserve">NEPSE frequently trades at highly inflated P/E and P/B multiples difficult to justify based on underlying corporate fundamentals or ROE metrics. By April 2026, NEPSE was trading at </w:t>
      </w:r>
      <w:r>
        <w:rPr>
          <w:rFonts w:cs="Arial"/>
          <w:b/>
          <w:bCs/>
        </w:rPr>
        <w:t>38 times earnings</w:t>
      </w:r>
      <w:r>
        <w:rPr>
          <w:rFonts w:cs="Arial"/>
        </w:rPr>
        <w:t xml:space="preserve"> </w:t>
      </w:r>
      <w:r w:rsidR="00445CC5">
        <w:rPr>
          <w:rFonts w:cs="Arial"/>
        </w:rPr>
        <w:t>-</w:t>
      </w:r>
      <w:r>
        <w:rPr>
          <w:rFonts w:cs="Arial"/>
        </w:rPr>
        <w:t xml:space="preserve"> among the world's most expensive stock markets.</w:t>
      </w:r>
      <w:hyperlink r:id="rId28" w:history="1">
        <w:r>
          <w:rPr>
            <w:rFonts w:cs="Arial"/>
            <w:color w:val="C4921A"/>
            <w:sz w:val="16"/>
            <w:szCs w:val="16"/>
            <w:u w:val="single" w:color="C4921A"/>
            <w:vertAlign w:val="superscript"/>
          </w:rPr>
          <w:t>[20]</w:t>
        </w:r>
      </w:hyperlink>
    </w:p>
    <w:p w14:paraId="290B402A" w14:textId="50E7592F" w:rsidR="003D7881" w:rsidRDefault="00000000" w:rsidP="00445CC5">
      <w:pPr>
        <w:pBdr>
          <w:left w:val="thick" w:sz="6" w:space="10" w:color="EEEEEE"/>
        </w:pBdr>
        <w:spacing w:after="120"/>
        <w:ind w:left="220"/>
        <w:jc w:val="both"/>
      </w:pPr>
      <w:r>
        <w:rPr>
          <w:rFonts w:cs="Arial"/>
        </w:rPr>
        <w:t xml:space="preserve">Strict </w:t>
      </w:r>
      <w:r>
        <w:rPr>
          <w:rFonts w:cs="Arial"/>
          <w:b/>
          <w:bCs/>
        </w:rPr>
        <w:t>capital account restrictions</w:t>
      </w:r>
      <w:r>
        <w:rPr>
          <w:rFonts w:cs="Arial"/>
        </w:rPr>
        <w:t xml:space="preserve"> legally prevented Nepalese citizens from investing in international equity markets or foreign real estate.</w:t>
      </w:r>
      <w:hyperlink r:id="rId29" w:history="1">
        <w:r>
          <w:rPr>
            <w:rFonts w:cs="Arial"/>
            <w:color w:val="C4921A"/>
            <w:sz w:val="16"/>
            <w:szCs w:val="16"/>
            <w:u w:val="single" w:color="C4921A"/>
            <w:vertAlign w:val="superscript"/>
          </w:rPr>
          <w:t>[22]</w:t>
        </w:r>
      </w:hyperlink>
      <w:r>
        <w:rPr>
          <w:rFonts w:cs="Arial"/>
        </w:rPr>
        <w:t xml:space="preserve"> The result: domestic savings had </w:t>
      </w:r>
      <w:r>
        <w:rPr>
          <w:rFonts w:cs="Arial"/>
          <w:i/>
          <w:iCs/>
        </w:rPr>
        <w:t>"nowhere to go except the stock market, real estate, or gold."</w:t>
      </w:r>
      <w:r>
        <w:rPr>
          <w:rFonts w:cs="Arial"/>
        </w:rPr>
        <w:t xml:space="preserve"> Because real estate offered higher perceived security, physical tangibility, and a convenient mechanism to absorb informal wealth </w:t>
      </w:r>
      <w:r w:rsidR="00445CC5">
        <w:rPr>
          <w:rFonts w:cs="Arial"/>
        </w:rPr>
        <w:t>-</w:t>
      </w:r>
      <w:r>
        <w:rPr>
          <w:rFonts w:cs="Arial"/>
        </w:rPr>
        <w:t xml:space="preserve"> including capital from parallel economies or illegal Hundi remittance transfers </w:t>
      </w:r>
      <w:r w:rsidR="00445CC5">
        <w:rPr>
          <w:rFonts w:cs="Arial"/>
        </w:rPr>
        <w:t>-</w:t>
      </w:r>
      <w:r>
        <w:rPr>
          <w:rFonts w:cs="Arial"/>
        </w:rPr>
        <w:t xml:space="preserve"> it </w:t>
      </w:r>
      <w:r>
        <w:rPr>
          <w:rFonts w:cs="Arial"/>
          <w:b/>
          <w:bCs/>
        </w:rPr>
        <w:t>systematically cannibalized capital</w:t>
      </w:r>
      <w:r>
        <w:rPr>
          <w:rFonts w:cs="Arial"/>
        </w:rPr>
        <w:t xml:space="preserve"> that might otherwise have been directed toward productive investments.</w:t>
      </w:r>
      <w:hyperlink r:id="rId30" w:history="1">
        <w:r>
          <w:rPr>
            <w:rFonts w:cs="Arial"/>
            <w:color w:val="C4921A"/>
            <w:sz w:val="16"/>
            <w:szCs w:val="16"/>
            <w:u w:val="single" w:color="C4921A"/>
            <w:vertAlign w:val="superscript"/>
          </w:rPr>
          <w:t>[19]</w:t>
        </w:r>
      </w:hyperlink>
    </w:p>
    <w:p w14:paraId="2FA9440E"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6C9C93AB" w14:textId="77777777">
        <w:tblPrEx>
          <w:tblCellMar>
            <w:top w:w="0" w:type="dxa"/>
            <w:bottom w:w="0" w:type="dxa"/>
          </w:tblCellMar>
        </w:tblPrEx>
        <w:tc>
          <w:tcPr>
            <w:tcW w:w="9000" w:type="dxa"/>
            <w:tcBorders>
              <w:top w:val="none" w:sz="0" w:space="0" w:color="FFFFFF"/>
              <w:left w:val="thick" w:sz="18" w:space="0" w:color="D4813A"/>
              <w:bottom w:val="none" w:sz="0" w:space="0" w:color="FFFFFF"/>
              <w:right w:val="none" w:sz="0" w:space="0" w:color="FFFFFF"/>
            </w:tcBorders>
            <w:shd w:val="clear" w:color="auto" w:fill="FFF8F0"/>
            <w:tcMar>
              <w:top w:w="130" w:type="dxa"/>
              <w:left w:w="220" w:type="dxa"/>
              <w:bottom w:w="130" w:type="dxa"/>
              <w:right w:w="160" w:type="dxa"/>
            </w:tcMar>
          </w:tcPr>
          <w:p w14:paraId="0BA49ACA" w14:textId="77777777" w:rsidR="003D7881" w:rsidRDefault="00000000" w:rsidP="00445CC5">
            <w:pPr>
              <w:spacing w:after="100"/>
              <w:jc w:val="both"/>
            </w:pPr>
            <w:r>
              <w:rPr>
                <w:rFonts w:cs="Arial"/>
                <w:b/>
                <w:bCs/>
                <w:caps/>
                <w:color w:val="A0522D"/>
                <w:sz w:val="17"/>
                <w:szCs w:val="17"/>
              </w:rPr>
              <w:t>Impact</w:t>
            </w:r>
          </w:p>
          <w:p w14:paraId="44D2F8B8" w14:textId="77777777" w:rsidR="003D7881" w:rsidRDefault="00000000" w:rsidP="00445CC5">
            <w:pPr>
              <w:spacing w:after="90"/>
              <w:jc w:val="both"/>
            </w:pPr>
            <w:r>
              <w:rPr>
                <w:rFonts w:cs="Arial"/>
                <w:b/>
                <w:bCs/>
                <w:sz w:val="19"/>
                <w:szCs w:val="19"/>
              </w:rPr>
              <w:t>The real estate boom was as much a symptom of a lack of viable financial alternatives as it was a testament to the desirability of land itself.</w:t>
            </w:r>
            <w:r>
              <w:rPr>
                <w:rFonts w:cs="Arial"/>
                <w:sz w:val="19"/>
                <w:szCs w:val="19"/>
              </w:rPr>
              <w:t xml:space="preserve"> Capital that could have driven industrial or entrepreneurial investment was absorbed entirely by the land market.</w:t>
            </w:r>
          </w:p>
        </w:tc>
      </w:tr>
    </w:tbl>
    <w:p w14:paraId="4DD9E561" w14:textId="77777777" w:rsidR="003D7881" w:rsidRDefault="003D7881" w:rsidP="00445CC5">
      <w:pPr>
        <w:spacing w:after="140"/>
        <w:jc w:val="both"/>
      </w:pPr>
    </w:p>
    <w:p w14:paraId="3B41A769" w14:textId="77777777" w:rsidR="003D7881" w:rsidRDefault="003D7881" w:rsidP="00445CC5">
      <w:pPr>
        <w:pBdr>
          <w:bottom w:val="single" w:sz="4" w:space="1" w:color="D6D0C8"/>
        </w:pBdr>
        <w:spacing w:before="240" w:after="240"/>
        <w:jc w:val="both"/>
      </w:pPr>
    </w:p>
    <w:p w14:paraId="60C03392" w14:textId="77777777" w:rsidR="003D7881" w:rsidRDefault="00000000" w:rsidP="00445CC5">
      <w:pPr>
        <w:pBdr>
          <w:left w:val="thick" w:sz="14" w:space="10" w:color="991B1B"/>
        </w:pBdr>
        <w:spacing w:before="280" w:after="60"/>
        <w:ind w:left="220"/>
        <w:jc w:val="both"/>
      </w:pPr>
      <w:r>
        <w:rPr>
          <w:rFonts w:cs="Arial"/>
          <w:b/>
          <w:bCs/>
          <w:color w:val="555555"/>
          <w:sz w:val="18"/>
          <w:szCs w:val="18"/>
        </w:rPr>
        <w:t xml:space="preserve">2076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2019 AD</w:t>
      </w:r>
      <w:r>
        <w:rPr>
          <w:rFonts w:cs="Arial"/>
          <w:sz w:val="18"/>
          <w:szCs w:val="18"/>
        </w:rPr>
        <w:t xml:space="preserve">        </w:t>
      </w:r>
      <w:r>
        <w:rPr>
          <w:rFonts w:cs="Arial"/>
          <w:b/>
          <w:bCs/>
          <w:color w:val="991B1B"/>
          <w:sz w:val="18"/>
          <w:szCs w:val="18"/>
        </w:rPr>
        <w:t>◆ REGULATORY / LEGAL</w:t>
      </w:r>
    </w:p>
    <w:p w14:paraId="48874C5E" w14:textId="20DD5DB0" w:rsidR="003D7881" w:rsidRDefault="00000000" w:rsidP="00445CC5">
      <w:pPr>
        <w:pBdr>
          <w:left w:val="thick" w:sz="14" w:space="10" w:color="DDDDDD"/>
        </w:pBdr>
        <w:spacing w:before="60" w:after="160"/>
        <w:ind w:left="220"/>
        <w:jc w:val="both"/>
      </w:pPr>
      <w:r>
        <w:rPr>
          <w:rFonts w:cs="Arial"/>
          <w:b/>
          <w:bCs/>
          <w:sz w:val="26"/>
          <w:szCs w:val="26"/>
        </w:rPr>
        <w:t xml:space="preserve">Land Use Act 2076 Enacted </w:t>
      </w:r>
      <w:r w:rsidR="00445CC5">
        <w:rPr>
          <w:rFonts w:cs="Arial"/>
          <w:b/>
          <w:bCs/>
          <w:sz w:val="26"/>
          <w:szCs w:val="26"/>
        </w:rPr>
        <w:t>-</w:t>
      </w:r>
      <w:r>
        <w:rPr>
          <w:rFonts w:cs="Arial"/>
          <w:b/>
          <w:bCs/>
          <w:sz w:val="26"/>
          <w:szCs w:val="26"/>
        </w:rPr>
        <w:t xml:space="preserve"> Legal Framework Mandating Land Classification Across All 753 Local Governments</w:t>
      </w:r>
    </w:p>
    <w:p w14:paraId="0989944F" w14:textId="0020F2D6" w:rsidR="003D7881" w:rsidRDefault="00000000" w:rsidP="00445CC5">
      <w:pPr>
        <w:pBdr>
          <w:left w:val="thick" w:sz="6" w:space="10" w:color="EEEEEE"/>
        </w:pBdr>
        <w:spacing w:after="120"/>
        <w:ind w:left="220"/>
        <w:jc w:val="both"/>
      </w:pPr>
      <w:r>
        <w:rPr>
          <w:rFonts w:cs="Arial"/>
        </w:rPr>
        <w:t xml:space="preserve">The Land Use Act 2076 was passed with the intent to curb rampant fragmentation of arable land and ensure long-term national food security. It mandated all </w:t>
      </w:r>
      <w:r>
        <w:rPr>
          <w:rFonts w:cs="Arial"/>
          <w:b/>
          <w:bCs/>
        </w:rPr>
        <w:t>753 local governments</w:t>
      </w:r>
      <w:r>
        <w:rPr>
          <w:rFonts w:cs="Arial"/>
        </w:rPr>
        <w:t xml:space="preserve"> </w:t>
      </w:r>
      <w:r w:rsidR="00445CC5">
        <w:rPr>
          <w:rFonts w:cs="Arial"/>
        </w:rPr>
        <w:t>-</w:t>
      </w:r>
      <w:r>
        <w:rPr>
          <w:rFonts w:cs="Arial"/>
        </w:rPr>
        <w:t xml:space="preserve"> metropolitan cities, sub-metropolitan cities, municipalities, and rural municipalities </w:t>
      </w:r>
      <w:r w:rsidR="00445CC5">
        <w:rPr>
          <w:rFonts w:cs="Arial"/>
        </w:rPr>
        <w:t>-</w:t>
      </w:r>
      <w:r>
        <w:rPr>
          <w:rFonts w:cs="Arial"/>
        </w:rPr>
        <w:t xml:space="preserve"> to classify land within their jurisdictions into </w:t>
      </w:r>
      <w:r>
        <w:rPr>
          <w:rFonts w:cs="Arial"/>
          <w:b/>
          <w:bCs/>
        </w:rPr>
        <w:t>ten distinct, legally binding zones:</w:t>
      </w:r>
      <w:hyperlink r:id="rId31" w:history="1">
        <w:r>
          <w:rPr>
            <w:rFonts w:cs="Arial"/>
            <w:color w:val="C4921A"/>
            <w:sz w:val="16"/>
            <w:szCs w:val="16"/>
            <w:u w:val="single" w:color="C4921A"/>
            <w:vertAlign w:val="superscript"/>
          </w:rPr>
          <w:t>[4]</w:t>
        </w:r>
      </w:hyperlink>
    </w:p>
    <w:p w14:paraId="7E0B4C39" w14:textId="77777777" w:rsidR="003D7881" w:rsidRDefault="00000000" w:rsidP="00445CC5">
      <w:pPr>
        <w:pStyle w:val="ListParagraph"/>
        <w:numPr>
          <w:ilvl w:val="0"/>
          <w:numId w:val="3"/>
        </w:numPr>
        <w:pBdr>
          <w:left w:val="thick" w:sz="6" w:space="10" w:color="EEEEEE"/>
        </w:pBdr>
        <w:spacing w:after="80"/>
        <w:jc w:val="both"/>
      </w:pPr>
      <w:r>
        <w:t>Agricultural, Residential, Commercial, Industrial, Area of Mines and Minerals, Forest, Public Use, Area of Cultural and Archaeological Importance, Riverine, and Others</w:t>
      </w:r>
    </w:p>
    <w:p w14:paraId="12782963"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7BCD5CD7" w14:textId="77777777">
        <w:tblPrEx>
          <w:tblCellMar>
            <w:top w:w="0" w:type="dxa"/>
            <w:bottom w:w="0" w:type="dxa"/>
          </w:tblCellMar>
        </w:tblPrEx>
        <w:tc>
          <w:tcPr>
            <w:tcW w:w="9000" w:type="dxa"/>
            <w:tcBorders>
              <w:top w:val="none" w:sz="0" w:space="0" w:color="FFFFFF"/>
              <w:left w:val="thick" w:sz="18" w:space="0" w:color="D4813A"/>
              <w:bottom w:val="none" w:sz="0" w:space="0" w:color="FFFFFF"/>
              <w:right w:val="none" w:sz="0" w:space="0" w:color="FFFFFF"/>
            </w:tcBorders>
            <w:shd w:val="clear" w:color="auto" w:fill="FFF8F0"/>
            <w:tcMar>
              <w:top w:w="130" w:type="dxa"/>
              <w:left w:w="220" w:type="dxa"/>
              <w:bottom w:w="130" w:type="dxa"/>
              <w:right w:w="160" w:type="dxa"/>
            </w:tcMar>
          </w:tcPr>
          <w:p w14:paraId="26D8660D" w14:textId="77777777" w:rsidR="003D7881" w:rsidRDefault="00000000" w:rsidP="00445CC5">
            <w:pPr>
              <w:spacing w:after="100"/>
              <w:jc w:val="both"/>
            </w:pPr>
            <w:r>
              <w:rPr>
                <w:rFonts w:cs="Arial"/>
                <w:b/>
                <w:bCs/>
                <w:caps/>
                <w:color w:val="A0522D"/>
                <w:sz w:val="17"/>
                <w:szCs w:val="17"/>
              </w:rPr>
              <w:t>Impact</w:t>
            </w:r>
          </w:p>
          <w:p w14:paraId="56CFC535" w14:textId="1A1BE926" w:rsidR="003D7881" w:rsidRDefault="00000000" w:rsidP="00445CC5">
            <w:pPr>
              <w:spacing w:after="90"/>
              <w:jc w:val="both"/>
            </w:pPr>
            <w:r>
              <w:rPr>
                <w:rFonts w:cs="Arial"/>
                <w:sz w:val="19"/>
                <w:szCs w:val="19"/>
              </w:rPr>
              <w:t xml:space="preserve">The Act set in motion the legal architecture for the </w:t>
            </w:r>
            <w:r>
              <w:rPr>
                <w:rFonts w:cs="Arial"/>
                <w:b/>
                <w:bCs/>
                <w:sz w:val="19"/>
                <w:szCs w:val="19"/>
              </w:rPr>
              <w:t>most disruptive single policy event</w:t>
            </w:r>
            <w:r>
              <w:rPr>
                <w:rFonts w:cs="Arial"/>
                <w:sz w:val="19"/>
                <w:szCs w:val="19"/>
              </w:rPr>
              <w:t xml:space="preserve"> in Nepal's real estate history. Sound in intent, it would become catastrophic in execution upon the 2022 implementation of the Land Use Regulation 2079 </w:t>
            </w:r>
            <w:r w:rsidR="00445CC5">
              <w:rPr>
                <w:rFonts w:cs="Arial"/>
                <w:sz w:val="19"/>
                <w:szCs w:val="19"/>
              </w:rPr>
              <w:t>-</w:t>
            </w:r>
            <w:r>
              <w:rPr>
                <w:rFonts w:cs="Arial"/>
                <w:sz w:val="19"/>
                <w:szCs w:val="19"/>
              </w:rPr>
              <w:t xml:space="preserve"> because it attached enforcement teeth (the </w:t>
            </w:r>
            <w:proofErr w:type="spellStart"/>
            <w:r>
              <w:rPr>
                <w:rFonts w:cs="Arial"/>
                <w:sz w:val="19"/>
                <w:szCs w:val="19"/>
              </w:rPr>
              <w:t>kitta</w:t>
            </w:r>
            <w:proofErr w:type="spellEnd"/>
            <w:r>
              <w:rPr>
                <w:rFonts w:cs="Arial"/>
                <w:sz w:val="19"/>
                <w:szCs w:val="19"/>
              </w:rPr>
              <w:t xml:space="preserve"> kat ban) to an administrative process that local governments were wholly unprepared to execute.</w:t>
            </w:r>
          </w:p>
        </w:tc>
      </w:tr>
    </w:tbl>
    <w:p w14:paraId="106F951A" w14:textId="77777777" w:rsidR="003D7881" w:rsidRDefault="003D7881" w:rsidP="00445CC5">
      <w:pPr>
        <w:spacing w:after="140"/>
        <w:jc w:val="both"/>
      </w:pPr>
    </w:p>
    <w:p w14:paraId="23B7B6A0" w14:textId="77777777" w:rsidR="003D7881" w:rsidRDefault="003D7881" w:rsidP="00445CC5">
      <w:pPr>
        <w:pBdr>
          <w:bottom w:val="single" w:sz="4" w:space="1" w:color="D6D0C8"/>
        </w:pBdr>
        <w:spacing w:before="240" w:after="240"/>
        <w:jc w:val="both"/>
      </w:pPr>
    </w:p>
    <w:p w14:paraId="59E5EA18" w14:textId="2067A2B0" w:rsidR="003D7881" w:rsidRDefault="00000000" w:rsidP="00445CC5">
      <w:pPr>
        <w:shd w:val="clear" w:color="auto" w:fill="2C2C2C"/>
        <w:spacing w:before="440"/>
        <w:ind w:left="200" w:right="200"/>
        <w:jc w:val="both"/>
      </w:pPr>
      <w:r>
        <w:rPr>
          <w:rFonts w:cs="Arial"/>
          <w:b/>
          <w:bCs/>
          <w:color w:val="FFFFFF"/>
          <w:sz w:val="26"/>
          <w:szCs w:val="26"/>
        </w:rPr>
        <w:t xml:space="preserve">PHASE II </w:t>
      </w:r>
      <w:r w:rsidR="00445CC5">
        <w:rPr>
          <w:rFonts w:cs="Arial"/>
          <w:b/>
          <w:bCs/>
          <w:color w:val="FFFFFF"/>
          <w:sz w:val="26"/>
          <w:szCs w:val="26"/>
        </w:rPr>
        <w:t>-</w:t>
      </w:r>
      <w:r>
        <w:rPr>
          <w:rFonts w:cs="Arial"/>
          <w:b/>
          <w:bCs/>
          <w:color w:val="FFFFFF"/>
          <w:sz w:val="26"/>
          <w:szCs w:val="26"/>
        </w:rPr>
        <w:t xml:space="preserve"> The Historic Peak</w:t>
      </w:r>
    </w:p>
    <w:p w14:paraId="64528FFB" w14:textId="77777777" w:rsidR="003D7881" w:rsidRDefault="00000000" w:rsidP="00445CC5">
      <w:pPr>
        <w:shd w:val="clear" w:color="auto" w:fill="2C2C2C"/>
        <w:spacing w:after="320"/>
        <w:ind w:left="200" w:right="200"/>
        <w:jc w:val="both"/>
      </w:pPr>
      <w:r>
        <w:rPr>
          <w:rFonts w:cs="Arial"/>
          <w:i/>
          <w:iCs/>
          <w:color w:val="D4C5A8"/>
          <w:sz w:val="19"/>
          <w:szCs w:val="19"/>
        </w:rPr>
        <w:t>FY 2021/22   ·   2078/79 BS</w:t>
      </w:r>
    </w:p>
    <w:p w14:paraId="4E6A744A" w14:textId="77777777" w:rsidR="003D7881" w:rsidRDefault="00000000" w:rsidP="00445CC5">
      <w:pPr>
        <w:pBdr>
          <w:left w:val="thick" w:sz="14" w:space="10" w:color="065F46"/>
        </w:pBdr>
        <w:spacing w:before="280" w:after="60"/>
        <w:ind w:left="220"/>
        <w:jc w:val="both"/>
      </w:pPr>
      <w:r>
        <w:rPr>
          <w:rFonts w:cs="Arial"/>
          <w:b/>
          <w:bCs/>
          <w:color w:val="555555"/>
          <w:sz w:val="18"/>
          <w:szCs w:val="18"/>
        </w:rPr>
        <w:t xml:space="preserve">2078/79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FY 2021/22 AD</w:t>
      </w:r>
      <w:r>
        <w:rPr>
          <w:rFonts w:cs="Arial"/>
          <w:sz w:val="18"/>
          <w:szCs w:val="18"/>
        </w:rPr>
        <w:t xml:space="preserve">        </w:t>
      </w:r>
      <w:r>
        <w:rPr>
          <w:rFonts w:cs="Arial"/>
          <w:b/>
          <w:bCs/>
          <w:color w:val="065F46"/>
          <w:sz w:val="18"/>
          <w:szCs w:val="18"/>
        </w:rPr>
        <w:t>◆ MARKET DATA</w:t>
      </w:r>
    </w:p>
    <w:p w14:paraId="64FC0822" w14:textId="1AC1E306" w:rsidR="003D7881" w:rsidRDefault="00000000" w:rsidP="00445CC5">
      <w:pPr>
        <w:pBdr>
          <w:left w:val="thick" w:sz="14" w:space="10" w:color="DDDDDD"/>
        </w:pBdr>
        <w:spacing w:before="60" w:after="160"/>
        <w:ind w:left="220"/>
        <w:jc w:val="both"/>
      </w:pPr>
      <w:r>
        <w:rPr>
          <w:rFonts w:cs="Arial"/>
          <w:b/>
          <w:bCs/>
          <w:sz w:val="26"/>
          <w:szCs w:val="26"/>
        </w:rPr>
        <w:t xml:space="preserve">HISTORIC MARKET PEAK </w:t>
      </w:r>
      <w:r w:rsidR="00445CC5">
        <w:rPr>
          <w:rFonts w:cs="Arial"/>
          <w:b/>
          <w:bCs/>
          <w:sz w:val="26"/>
          <w:szCs w:val="26"/>
        </w:rPr>
        <w:t>-</w:t>
      </w:r>
      <w:r>
        <w:rPr>
          <w:rFonts w:cs="Arial"/>
          <w:b/>
          <w:bCs/>
          <w:sz w:val="26"/>
          <w:szCs w:val="26"/>
        </w:rPr>
        <w:t xml:space="preserve"> Land Transaction Volumes and Government Revenue Reach All-Time Highs</w:t>
      </w:r>
    </w:p>
    <w:p w14:paraId="33D0E49B" w14:textId="77777777" w:rsidR="003D7881" w:rsidRDefault="00000000" w:rsidP="00445CC5">
      <w:pPr>
        <w:pBdr>
          <w:left w:val="thick" w:sz="6" w:space="10" w:color="EEEEEE"/>
        </w:pBdr>
        <w:spacing w:after="120"/>
        <w:ind w:left="220"/>
        <w:jc w:val="both"/>
      </w:pPr>
      <w:r>
        <w:rPr>
          <w:rFonts w:cs="Arial"/>
        </w:rPr>
        <w:t>A decade of remittance-</w:t>
      </w:r>
      <w:proofErr w:type="spellStart"/>
      <w:r>
        <w:rPr>
          <w:rFonts w:cs="Arial"/>
        </w:rPr>
        <w:t>fuelled</w:t>
      </w:r>
      <w:proofErr w:type="spellEnd"/>
      <w:r>
        <w:rPr>
          <w:rFonts w:cs="Arial"/>
        </w:rPr>
        <w:t xml:space="preserve"> growth, hyper-</w:t>
      </w:r>
      <w:proofErr w:type="spellStart"/>
      <w:r>
        <w:rPr>
          <w:rFonts w:cs="Arial"/>
        </w:rPr>
        <w:t>urbanisation</w:t>
      </w:r>
      <w:proofErr w:type="spellEnd"/>
      <w:r>
        <w:rPr>
          <w:rFonts w:cs="Arial"/>
        </w:rPr>
        <w:t xml:space="preserve">, speculative </w:t>
      </w:r>
      <w:proofErr w:type="spellStart"/>
      <w:r>
        <w:rPr>
          <w:rFonts w:cs="Arial"/>
        </w:rPr>
        <w:t>behaviour</w:t>
      </w:r>
      <w:proofErr w:type="spellEnd"/>
      <w:r>
        <w:rPr>
          <w:rFonts w:cs="Arial"/>
        </w:rPr>
        <w:t>, and lack of alternative investment channels culminated in an unprecedented apex. Land transaction volumes and gross registered values reached historic maximums.</w:t>
      </w:r>
      <w:hyperlink r:id="rId32" w:history="1">
        <w:r>
          <w:rPr>
            <w:rFonts w:cs="Arial"/>
            <w:color w:val="C4921A"/>
            <w:sz w:val="16"/>
            <w:szCs w:val="16"/>
            <w:u w:val="single" w:color="C4921A"/>
            <w:vertAlign w:val="superscript"/>
          </w:rPr>
          <w:t>[2]</w:t>
        </w:r>
      </w:hyperlink>
      <w:hyperlink r:id="rId33" w:history="1">
        <w:r>
          <w:rPr>
            <w:rFonts w:cs="Arial"/>
            <w:color w:val="C4921A"/>
            <w:sz w:val="16"/>
            <w:szCs w:val="16"/>
            <w:u w:val="single" w:color="C4921A"/>
            <w:vertAlign w:val="superscript"/>
          </w:rPr>
          <w:t>[1]</w:t>
        </w:r>
      </w:hyperlink>
    </w:p>
    <w:p w14:paraId="6FDEE97E"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406A16BD" w14:textId="77777777">
        <w:tblPrEx>
          <w:tblCellMar>
            <w:top w:w="0" w:type="dxa"/>
            <w:bottom w:w="0" w:type="dxa"/>
          </w:tblCellMar>
        </w:tblPrEx>
        <w:tc>
          <w:tcPr>
            <w:tcW w:w="9000" w:type="dxa"/>
            <w:tcBorders>
              <w:top w:val="none" w:sz="0" w:space="0" w:color="FFFFFF"/>
              <w:left w:val="thick" w:sz="18" w:space="0" w:color="2E8B57"/>
              <w:bottom w:val="none" w:sz="0" w:space="0" w:color="FFFFFF"/>
              <w:right w:val="none" w:sz="0" w:space="0" w:color="FFFFFF"/>
            </w:tcBorders>
            <w:shd w:val="clear" w:color="auto" w:fill="F0FAF4"/>
            <w:tcMar>
              <w:top w:w="130" w:type="dxa"/>
              <w:left w:w="220" w:type="dxa"/>
              <w:bottom w:w="130" w:type="dxa"/>
              <w:right w:w="160" w:type="dxa"/>
            </w:tcMar>
          </w:tcPr>
          <w:p w14:paraId="55B08926" w14:textId="77777777" w:rsidR="003D7881" w:rsidRDefault="00000000" w:rsidP="00445CC5">
            <w:pPr>
              <w:spacing w:after="100"/>
              <w:jc w:val="both"/>
            </w:pPr>
            <w:r>
              <w:rPr>
                <w:rFonts w:cs="Arial"/>
                <w:b/>
                <w:bCs/>
                <w:caps/>
                <w:color w:val="1A5E3A"/>
                <w:sz w:val="17"/>
                <w:szCs w:val="17"/>
              </w:rPr>
              <w:t>Key Data</w:t>
            </w:r>
          </w:p>
          <w:p w14:paraId="708A52BD" w14:textId="77777777" w:rsidR="003D7881" w:rsidRDefault="00000000" w:rsidP="00445CC5">
            <w:pPr>
              <w:pStyle w:val="ListParagraph"/>
              <w:numPr>
                <w:ilvl w:val="0"/>
                <w:numId w:val="2"/>
              </w:numPr>
              <w:spacing w:after="80"/>
              <w:jc w:val="both"/>
            </w:pPr>
            <w:r>
              <w:rPr>
                <w:b/>
                <w:bCs/>
                <w:sz w:val="19"/>
                <w:szCs w:val="19"/>
              </w:rPr>
              <w:t xml:space="preserve">Total Land Deeds Processed: </w:t>
            </w:r>
            <w:r>
              <w:rPr>
                <w:sz w:val="19"/>
                <w:szCs w:val="19"/>
              </w:rPr>
              <w:t>~745,000</w:t>
            </w:r>
          </w:p>
          <w:p w14:paraId="059517FF" w14:textId="77777777" w:rsidR="003D7881" w:rsidRDefault="00000000" w:rsidP="00445CC5">
            <w:pPr>
              <w:pStyle w:val="ListParagraph"/>
              <w:numPr>
                <w:ilvl w:val="0"/>
                <w:numId w:val="2"/>
              </w:numPr>
              <w:spacing w:after="80"/>
              <w:jc w:val="both"/>
            </w:pPr>
            <w:r>
              <w:rPr>
                <w:b/>
                <w:bCs/>
                <w:sz w:val="19"/>
                <w:szCs w:val="19"/>
              </w:rPr>
              <w:t xml:space="preserve">Land Plots Created (Kitta Kat): </w:t>
            </w:r>
            <w:r>
              <w:rPr>
                <w:sz w:val="19"/>
                <w:szCs w:val="19"/>
              </w:rPr>
              <w:t>1,612,000</w:t>
            </w:r>
          </w:p>
          <w:p w14:paraId="43C6445D" w14:textId="77777777" w:rsidR="003D7881" w:rsidRDefault="00000000" w:rsidP="00445CC5">
            <w:pPr>
              <w:pStyle w:val="ListParagraph"/>
              <w:numPr>
                <w:ilvl w:val="0"/>
                <w:numId w:val="2"/>
              </w:numPr>
              <w:spacing w:after="80"/>
              <w:jc w:val="both"/>
            </w:pPr>
            <w:r>
              <w:rPr>
                <w:b/>
                <w:bCs/>
                <w:sz w:val="19"/>
                <w:szCs w:val="19"/>
              </w:rPr>
              <w:t xml:space="preserve">Government Revenue from Real Estate: </w:t>
            </w:r>
            <w:r>
              <w:rPr>
                <w:b/>
                <w:bCs/>
                <w:color w:val="166534"/>
                <w:sz w:val="19"/>
                <w:szCs w:val="19"/>
              </w:rPr>
              <w:t xml:space="preserve">Rs. 57.66 </w:t>
            </w:r>
            <w:proofErr w:type="gramStart"/>
            <w:r>
              <w:rPr>
                <w:b/>
                <w:bCs/>
                <w:color w:val="166534"/>
                <w:sz w:val="19"/>
                <w:szCs w:val="19"/>
              </w:rPr>
              <w:t>Billion</w:t>
            </w:r>
            <w:proofErr w:type="gramEnd"/>
          </w:p>
          <w:p w14:paraId="28397C81" w14:textId="77777777" w:rsidR="003D7881" w:rsidRDefault="00000000" w:rsidP="00445CC5">
            <w:pPr>
              <w:pStyle w:val="ListParagraph"/>
              <w:numPr>
                <w:ilvl w:val="0"/>
                <w:numId w:val="2"/>
              </w:numPr>
              <w:spacing w:after="80"/>
              <w:jc w:val="both"/>
            </w:pPr>
            <w:r>
              <w:rPr>
                <w:b/>
                <w:bCs/>
                <w:sz w:val="19"/>
                <w:szCs w:val="19"/>
              </w:rPr>
              <w:t xml:space="preserve">Market Status: </w:t>
            </w:r>
            <w:r>
              <w:rPr>
                <w:sz w:val="19"/>
                <w:szCs w:val="19"/>
              </w:rPr>
              <w:t>Historic Market Peak</w:t>
            </w:r>
          </w:p>
        </w:tc>
      </w:tr>
    </w:tbl>
    <w:p w14:paraId="40F71B24" w14:textId="77777777" w:rsidR="003D7881" w:rsidRDefault="003D7881" w:rsidP="00445CC5">
      <w:pPr>
        <w:spacing w:after="8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1798D689" w14:textId="77777777">
        <w:tblPrEx>
          <w:tblCellMar>
            <w:top w:w="0" w:type="dxa"/>
            <w:bottom w:w="0" w:type="dxa"/>
          </w:tblCellMar>
        </w:tblPrEx>
        <w:tc>
          <w:tcPr>
            <w:tcW w:w="9000" w:type="dxa"/>
            <w:tcBorders>
              <w:top w:val="none" w:sz="0" w:space="0" w:color="FFFFFF"/>
              <w:left w:val="thick" w:sz="18" w:space="0" w:color="D4813A"/>
              <w:bottom w:val="none" w:sz="0" w:space="0" w:color="FFFFFF"/>
              <w:right w:val="none" w:sz="0" w:space="0" w:color="FFFFFF"/>
            </w:tcBorders>
            <w:shd w:val="clear" w:color="auto" w:fill="FFF8F0"/>
            <w:tcMar>
              <w:top w:w="130" w:type="dxa"/>
              <w:left w:w="220" w:type="dxa"/>
              <w:bottom w:w="130" w:type="dxa"/>
              <w:right w:w="160" w:type="dxa"/>
            </w:tcMar>
          </w:tcPr>
          <w:p w14:paraId="62D8FCAF" w14:textId="77777777" w:rsidR="003D7881" w:rsidRDefault="00000000" w:rsidP="00445CC5">
            <w:pPr>
              <w:spacing w:after="100"/>
              <w:jc w:val="both"/>
            </w:pPr>
            <w:r>
              <w:rPr>
                <w:rFonts w:cs="Arial"/>
                <w:b/>
                <w:bCs/>
                <w:caps/>
                <w:color w:val="A0522D"/>
                <w:sz w:val="17"/>
                <w:szCs w:val="17"/>
              </w:rPr>
              <w:t>Impact</w:t>
            </w:r>
          </w:p>
          <w:p w14:paraId="39629FCA" w14:textId="7770D0C5" w:rsidR="003D7881" w:rsidRDefault="00000000" w:rsidP="00445CC5">
            <w:pPr>
              <w:spacing w:after="90"/>
              <w:jc w:val="both"/>
            </w:pPr>
            <w:r>
              <w:rPr>
                <w:rFonts w:cs="Arial"/>
                <w:sz w:val="19"/>
                <w:szCs w:val="19"/>
              </w:rPr>
              <w:t xml:space="preserve">Set the benchmark against which all subsequent contraction would be measured. The peak also set inflated price expectations in sellers' minds </w:t>
            </w:r>
            <w:r w:rsidR="00445CC5">
              <w:rPr>
                <w:rFonts w:cs="Arial"/>
                <w:sz w:val="19"/>
                <w:szCs w:val="19"/>
              </w:rPr>
              <w:t>-</w:t>
            </w:r>
            <w:r>
              <w:rPr>
                <w:rFonts w:cs="Arial"/>
                <w:sz w:val="19"/>
                <w:szCs w:val="19"/>
              </w:rPr>
              <w:t xml:space="preserve"> creating the </w:t>
            </w:r>
            <w:r>
              <w:rPr>
                <w:rFonts w:cs="Arial"/>
                <w:b/>
                <w:bCs/>
                <w:sz w:val="19"/>
                <w:szCs w:val="19"/>
              </w:rPr>
              <w:t>"lock-in effect"</w:t>
            </w:r>
            <w:r>
              <w:rPr>
                <w:rFonts w:cs="Arial"/>
                <w:sz w:val="19"/>
                <w:szCs w:val="19"/>
              </w:rPr>
              <w:t xml:space="preserve"> that would amplify the subsequent stall: sellers anchored to 2021 prices refused to discount, even as buyers could no longer afford those prices.</w:t>
            </w:r>
          </w:p>
        </w:tc>
      </w:tr>
    </w:tbl>
    <w:p w14:paraId="5D6B0A8D" w14:textId="77777777" w:rsidR="003D7881" w:rsidRDefault="003D7881" w:rsidP="00445CC5">
      <w:pPr>
        <w:spacing w:after="140"/>
        <w:jc w:val="both"/>
      </w:pPr>
    </w:p>
    <w:p w14:paraId="6E80B9AF" w14:textId="77777777" w:rsidR="003D7881" w:rsidRDefault="003D7881" w:rsidP="00445CC5">
      <w:pPr>
        <w:pBdr>
          <w:bottom w:val="single" w:sz="4" w:space="1" w:color="D6D0C8"/>
        </w:pBdr>
        <w:spacing w:before="240" w:after="240"/>
        <w:jc w:val="both"/>
      </w:pPr>
    </w:p>
    <w:p w14:paraId="5B604F15" w14:textId="08CECBB7" w:rsidR="003D7881" w:rsidRDefault="00000000" w:rsidP="00445CC5">
      <w:pPr>
        <w:shd w:val="clear" w:color="auto" w:fill="2C2C2C"/>
        <w:spacing w:before="440"/>
        <w:ind w:left="200" w:right="200"/>
        <w:jc w:val="both"/>
      </w:pPr>
      <w:r>
        <w:rPr>
          <w:rFonts w:cs="Arial"/>
          <w:b/>
          <w:bCs/>
          <w:color w:val="FFFFFF"/>
          <w:sz w:val="26"/>
          <w:szCs w:val="26"/>
        </w:rPr>
        <w:t xml:space="preserve">PHASE III </w:t>
      </w:r>
      <w:r w:rsidR="00445CC5">
        <w:rPr>
          <w:rFonts w:cs="Arial"/>
          <w:b/>
          <w:bCs/>
          <w:color w:val="FFFFFF"/>
          <w:sz w:val="26"/>
          <w:szCs w:val="26"/>
        </w:rPr>
        <w:t>-</w:t>
      </w:r>
      <w:r>
        <w:rPr>
          <w:rFonts w:cs="Arial"/>
          <w:b/>
          <w:bCs/>
          <w:color w:val="FFFFFF"/>
          <w:sz w:val="26"/>
          <w:szCs w:val="26"/>
        </w:rPr>
        <w:t xml:space="preserve"> The Great Contraction: Macroeconomic &amp; Financial Shocks</w:t>
      </w:r>
    </w:p>
    <w:p w14:paraId="18C6B0AC" w14:textId="77777777" w:rsidR="003D7881" w:rsidRDefault="00000000" w:rsidP="00445CC5">
      <w:pPr>
        <w:shd w:val="clear" w:color="auto" w:fill="2C2C2C"/>
        <w:spacing w:after="320"/>
        <w:ind w:left="200" w:right="200"/>
        <w:jc w:val="both"/>
      </w:pPr>
      <w:r>
        <w:rPr>
          <w:rFonts w:cs="Arial"/>
          <w:i/>
          <w:iCs/>
          <w:color w:val="D4C5A8"/>
          <w:sz w:val="19"/>
          <w:szCs w:val="19"/>
        </w:rPr>
        <w:t>2021 – 2024   ·   2078–2081 BS</w:t>
      </w:r>
    </w:p>
    <w:p w14:paraId="19747A5F" w14:textId="77777777" w:rsidR="003D7881" w:rsidRDefault="00000000" w:rsidP="00445CC5">
      <w:pPr>
        <w:pBdr>
          <w:left w:val="thick" w:sz="14" w:space="10" w:color="92400E"/>
        </w:pBdr>
        <w:spacing w:before="280" w:after="60"/>
        <w:ind w:left="220"/>
        <w:jc w:val="both"/>
      </w:pPr>
      <w:r>
        <w:rPr>
          <w:rFonts w:cs="Arial"/>
          <w:b/>
          <w:bCs/>
          <w:color w:val="555555"/>
          <w:sz w:val="18"/>
          <w:szCs w:val="18"/>
        </w:rPr>
        <w:t xml:space="preserve">2078–2079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Post-COVID 2021–2022 AD</w:t>
      </w:r>
      <w:r>
        <w:rPr>
          <w:rFonts w:cs="Arial"/>
          <w:sz w:val="18"/>
          <w:szCs w:val="18"/>
        </w:rPr>
        <w:t xml:space="preserve">        </w:t>
      </w:r>
      <w:r>
        <w:rPr>
          <w:rFonts w:cs="Arial"/>
          <w:b/>
          <w:bCs/>
          <w:color w:val="92400E"/>
          <w:sz w:val="18"/>
          <w:szCs w:val="18"/>
        </w:rPr>
        <w:t>◆ FINANCIAL / BANKING</w:t>
      </w:r>
    </w:p>
    <w:p w14:paraId="248757B8" w14:textId="77777777" w:rsidR="003D7881" w:rsidRDefault="00000000" w:rsidP="00445CC5">
      <w:pPr>
        <w:pBdr>
          <w:left w:val="thick" w:sz="14" w:space="10" w:color="DDDDDD"/>
        </w:pBdr>
        <w:spacing w:before="60" w:after="160"/>
        <w:ind w:left="220"/>
        <w:jc w:val="both"/>
      </w:pPr>
      <w:r>
        <w:rPr>
          <w:rFonts w:cs="Arial"/>
          <w:b/>
          <w:bCs/>
          <w:sz w:val="26"/>
          <w:szCs w:val="26"/>
        </w:rPr>
        <w:t xml:space="preserve">Severe Macroeconomic Shock: </w:t>
      </w:r>
      <w:proofErr w:type="spellStart"/>
      <w:r>
        <w:rPr>
          <w:rFonts w:cs="Arial"/>
          <w:b/>
          <w:bCs/>
          <w:sz w:val="26"/>
          <w:szCs w:val="26"/>
        </w:rPr>
        <w:t>BoP</w:t>
      </w:r>
      <w:proofErr w:type="spellEnd"/>
      <w:r>
        <w:rPr>
          <w:rFonts w:cs="Arial"/>
          <w:b/>
          <w:bCs/>
          <w:sz w:val="26"/>
          <w:szCs w:val="26"/>
        </w:rPr>
        <w:t xml:space="preserve"> Deficit, Foreign Exchange Reserve Depletion &amp; Aggressive NRB Monetary Tightening</w:t>
      </w:r>
    </w:p>
    <w:p w14:paraId="773CF313" w14:textId="77777777" w:rsidR="003D7881" w:rsidRDefault="00000000" w:rsidP="00445CC5">
      <w:pPr>
        <w:pBdr>
          <w:left w:val="thick" w:sz="6" w:space="10" w:color="EEEEEE"/>
        </w:pBdr>
        <w:spacing w:after="120"/>
        <w:ind w:left="220"/>
        <w:jc w:val="both"/>
      </w:pPr>
      <w:r>
        <w:rPr>
          <w:rFonts w:cs="Arial"/>
        </w:rPr>
        <w:t xml:space="preserve">A massive post-COVID-19 surge in imports created a critical </w:t>
      </w:r>
      <w:r>
        <w:rPr>
          <w:rFonts w:cs="Arial"/>
          <w:b/>
          <w:bCs/>
        </w:rPr>
        <w:t>Balance of Payments (</w:t>
      </w:r>
      <w:proofErr w:type="spellStart"/>
      <w:r>
        <w:rPr>
          <w:rFonts w:cs="Arial"/>
          <w:b/>
          <w:bCs/>
        </w:rPr>
        <w:t>BoP</w:t>
      </w:r>
      <w:proofErr w:type="spellEnd"/>
      <w:r>
        <w:rPr>
          <w:rFonts w:cs="Arial"/>
          <w:b/>
          <w:bCs/>
        </w:rPr>
        <w:t>) deficit</w:t>
      </w:r>
      <w:r>
        <w:rPr>
          <w:rFonts w:cs="Arial"/>
        </w:rPr>
        <w:t xml:space="preserve"> and a rapid depletion of Nepal's foreign exchange reserves. To defend the currency, </w:t>
      </w:r>
      <w:proofErr w:type="spellStart"/>
      <w:r>
        <w:rPr>
          <w:rFonts w:cs="Arial"/>
        </w:rPr>
        <w:t>stabilise</w:t>
      </w:r>
      <w:proofErr w:type="spellEnd"/>
      <w:r>
        <w:rPr>
          <w:rFonts w:cs="Arial"/>
        </w:rPr>
        <w:t xml:space="preserve"> reserves, and combat rising inflation, the NRB was forced to aggressively tighten monetary policy.</w:t>
      </w:r>
      <w:hyperlink r:id="rId34" w:history="1">
        <w:r>
          <w:rPr>
            <w:rFonts w:cs="Arial"/>
            <w:color w:val="C4921A"/>
            <w:sz w:val="16"/>
            <w:szCs w:val="16"/>
            <w:u w:val="single" w:color="C4921A"/>
            <w:vertAlign w:val="superscript"/>
          </w:rPr>
          <w:t>[24]</w:t>
        </w:r>
      </w:hyperlink>
    </w:p>
    <w:p w14:paraId="784619CF" w14:textId="77777777" w:rsidR="003D7881" w:rsidRDefault="00000000" w:rsidP="00445CC5">
      <w:pPr>
        <w:pBdr>
          <w:left w:val="thick" w:sz="6" w:space="10" w:color="EEEEEE"/>
        </w:pBdr>
        <w:spacing w:after="120"/>
        <w:ind w:left="220"/>
        <w:jc w:val="both"/>
      </w:pPr>
      <w:r>
        <w:rPr>
          <w:rFonts w:cs="Arial"/>
        </w:rPr>
        <w:t xml:space="preserve">The NRB orchestrated a deliberate contraction of domestic liquidity, frequently </w:t>
      </w:r>
      <w:proofErr w:type="spellStart"/>
      <w:r>
        <w:rPr>
          <w:rFonts w:cs="Arial"/>
        </w:rPr>
        <w:t>utilising</w:t>
      </w:r>
      <w:proofErr w:type="spellEnd"/>
      <w:r>
        <w:rPr>
          <w:rFonts w:cs="Arial"/>
        </w:rPr>
        <w:t xml:space="preserve"> deposit collection instruments to </w:t>
      </w:r>
      <w:r>
        <w:rPr>
          <w:rFonts w:cs="Arial"/>
          <w:b/>
          <w:bCs/>
        </w:rPr>
        <w:t>mop up tens of billions of rupees</w:t>
      </w:r>
      <w:r>
        <w:rPr>
          <w:rFonts w:cs="Arial"/>
        </w:rPr>
        <w:t xml:space="preserve"> from the banking system.</w:t>
      </w:r>
      <w:hyperlink r:id="rId35" w:history="1">
        <w:r>
          <w:rPr>
            <w:rFonts w:cs="Arial"/>
            <w:color w:val="C4921A"/>
            <w:sz w:val="16"/>
            <w:szCs w:val="16"/>
            <w:u w:val="single" w:color="C4921A"/>
            <w:vertAlign w:val="superscript"/>
          </w:rPr>
          <w:t>[25]</w:t>
        </w:r>
      </w:hyperlink>
      <w:r>
        <w:rPr>
          <w:rFonts w:cs="Arial"/>
        </w:rPr>
        <w:t xml:space="preserve"> This elevated interbank lending rates, which translated into significantly higher base rates for all commercial and development banks.</w:t>
      </w:r>
    </w:p>
    <w:p w14:paraId="3459086B" w14:textId="77777777" w:rsidR="003D7881" w:rsidRDefault="00000000" w:rsidP="00445CC5">
      <w:pPr>
        <w:pBdr>
          <w:left w:val="thick" w:sz="6" w:space="10" w:color="EEEEEE"/>
        </w:pBdr>
        <w:spacing w:after="120"/>
        <w:ind w:left="220"/>
        <w:jc w:val="both"/>
      </w:pPr>
      <w:r>
        <w:rPr>
          <w:rFonts w:cs="Arial"/>
        </w:rPr>
        <w:t xml:space="preserve">Average consumer price inflation climbed: </w:t>
      </w:r>
      <w:r>
        <w:rPr>
          <w:rFonts w:cs="Arial"/>
          <w:b/>
          <w:bCs/>
        </w:rPr>
        <w:t>food and beverage inflation reached 4.69%</w:t>
      </w:r>
      <w:r>
        <w:rPr>
          <w:rFonts w:cs="Arial"/>
        </w:rPr>
        <w:t xml:space="preserve"> and </w:t>
      </w:r>
      <w:r>
        <w:rPr>
          <w:rFonts w:cs="Arial"/>
          <w:b/>
          <w:bCs/>
        </w:rPr>
        <w:t>non-food and services inflation hit 3.71%</w:t>
      </w:r>
      <w:r>
        <w:rPr>
          <w:rFonts w:cs="Arial"/>
        </w:rPr>
        <w:t xml:space="preserve"> in the 2024/25 period.</w:t>
      </w:r>
      <w:hyperlink r:id="rId36" w:history="1">
        <w:r>
          <w:rPr>
            <w:rFonts w:cs="Arial"/>
            <w:color w:val="C4921A"/>
            <w:sz w:val="16"/>
            <w:szCs w:val="16"/>
            <w:u w:val="single" w:color="C4921A"/>
            <w:vertAlign w:val="superscript"/>
          </w:rPr>
          <w:t>[12]</w:t>
        </w:r>
      </w:hyperlink>
      <w:r>
        <w:rPr>
          <w:rFonts w:cs="Arial"/>
        </w:rPr>
        <w:t xml:space="preserve"> Credit-to-Deposit (CD) ratios hovered precariously near regulatory limits across the banking sector.</w:t>
      </w:r>
      <w:hyperlink r:id="rId37" w:history="1">
        <w:r>
          <w:rPr>
            <w:rFonts w:cs="Arial"/>
            <w:color w:val="C4921A"/>
            <w:sz w:val="16"/>
            <w:szCs w:val="16"/>
            <w:u w:val="single" w:color="C4921A"/>
            <w:vertAlign w:val="superscript"/>
          </w:rPr>
          <w:t>[27]</w:t>
        </w:r>
      </w:hyperlink>
    </w:p>
    <w:p w14:paraId="56A4D234"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5E6F6A24" w14:textId="77777777">
        <w:tblPrEx>
          <w:tblCellMar>
            <w:top w:w="0" w:type="dxa"/>
            <w:bottom w:w="0" w:type="dxa"/>
          </w:tblCellMar>
        </w:tblPrEx>
        <w:tc>
          <w:tcPr>
            <w:tcW w:w="9000" w:type="dxa"/>
            <w:tcBorders>
              <w:top w:val="none" w:sz="0" w:space="0" w:color="FFFFFF"/>
              <w:left w:val="thick" w:sz="18" w:space="0" w:color="D4813A"/>
              <w:bottom w:val="none" w:sz="0" w:space="0" w:color="FFFFFF"/>
              <w:right w:val="none" w:sz="0" w:space="0" w:color="FFFFFF"/>
            </w:tcBorders>
            <w:shd w:val="clear" w:color="auto" w:fill="FFF8F0"/>
            <w:tcMar>
              <w:top w:w="130" w:type="dxa"/>
              <w:left w:w="220" w:type="dxa"/>
              <w:bottom w:w="130" w:type="dxa"/>
              <w:right w:w="160" w:type="dxa"/>
            </w:tcMar>
          </w:tcPr>
          <w:p w14:paraId="0C20ECDC" w14:textId="77777777" w:rsidR="003D7881" w:rsidRDefault="00000000" w:rsidP="00445CC5">
            <w:pPr>
              <w:spacing w:after="100"/>
              <w:jc w:val="both"/>
            </w:pPr>
            <w:r>
              <w:rPr>
                <w:rFonts w:cs="Arial"/>
                <w:b/>
                <w:bCs/>
                <w:caps/>
                <w:color w:val="A0522D"/>
                <w:sz w:val="17"/>
                <w:szCs w:val="17"/>
              </w:rPr>
              <w:lastRenderedPageBreak/>
              <w:t>Impact</w:t>
            </w:r>
          </w:p>
          <w:p w14:paraId="662B70D6" w14:textId="7A3BFBEC" w:rsidR="003D7881" w:rsidRDefault="00000000" w:rsidP="00445CC5">
            <w:pPr>
              <w:pStyle w:val="ListParagraph"/>
              <w:numPr>
                <w:ilvl w:val="0"/>
                <w:numId w:val="2"/>
              </w:numPr>
              <w:spacing w:after="80"/>
              <w:jc w:val="both"/>
            </w:pPr>
            <w:r>
              <w:rPr>
                <w:sz w:val="19"/>
                <w:szCs w:val="19"/>
              </w:rPr>
              <w:t xml:space="preserve">Financial viability of real estate development collapsed </w:t>
            </w:r>
            <w:r w:rsidR="00445CC5">
              <w:rPr>
                <w:sz w:val="19"/>
                <w:szCs w:val="19"/>
              </w:rPr>
              <w:t>-</w:t>
            </w:r>
            <w:r>
              <w:rPr>
                <w:sz w:val="19"/>
                <w:szCs w:val="19"/>
              </w:rPr>
              <w:t xml:space="preserve"> higher interest rates crippled large-scale developers relying on institutional financing</w:t>
            </w:r>
            <w:hyperlink r:id="rId38" w:history="1">
              <w:r>
                <w:rPr>
                  <w:color w:val="C4921A"/>
                  <w:sz w:val="16"/>
                  <w:szCs w:val="16"/>
                  <w:u w:val="single" w:color="C4921A"/>
                  <w:vertAlign w:val="superscript"/>
                </w:rPr>
                <w:t>[26]</w:t>
              </w:r>
            </w:hyperlink>
          </w:p>
          <w:p w14:paraId="2B94B56F" w14:textId="77777777" w:rsidR="003D7881" w:rsidRDefault="00000000" w:rsidP="00445CC5">
            <w:pPr>
              <w:pStyle w:val="ListParagraph"/>
              <w:numPr>
                <w:ilvl w:val="0"/>
                <w:numId w:val="2"/>
              </w:numPr>
              <w:spacing w:after="80"/>
              <w:jc w:val="both"/>
            </w:pPr>
            <w:r>
              <w:rPr>
                <w:sz w:val="19"/>
                <w:szCs w:val="19"/>
              </w:rPr>
              <w:t>Retail homebuyers discouraged from acquiring standard residential mortgages</w:t>
            </w:r>
          </w:p>
          <w:p w14:paraId="03012830" w14:textId="77777777" w:rsidR="003D7881" w:rsidRDefault="00000000" w:rsidP="00445CC5">
            <w:pPr>
              <w:pStyle w:val="ListParagraph"/>
              <w:numPr>
                <w:ilvl w:val="0"/>
                <w:numId w:val="2"/>
              </w:numPr>
              <w:spacing w:after="80"/>
              <w:jc w:val="both"/>
            </w:pPr>
            <w:r>
              <w:rPr>
                <w:sz w:val="19"/>
                <w:szCs w:val="19"/>
              </w:rPr>
              <w:t>Vacant land (which generates no immediate cash flows) was the first to suffer severe liquidity crunches</w:t>
            </w:r>
          </w:p>
        </w:tc>
      </w:tr>
    </w:tbl>
    <w:p w14:paraId="7347C377" w14:textId="77777777" w:rsidR="003D7881" w:rsidRDefault="003D7881" w:rsidP="00445CC5">
      <w:pPr>
        <w:spacing w:after="140"/>
        <w:jc w:val="both"/>
      </w:pPr>
    </w:p>
    <w:p w14:paraId="23229BA7" w14:textId="77777777" w:rsidR="003D7881" w:rsidRDefault="003D7881" w:rsidP="00445CC5">
      <w:pPr>
        <w:pBdr>
          <w:bottom w:val="single" w:sz="4" w:space="1" w:color="D6D0C8"/>
        </w:pBdr>
        <w:spacing w:before="240" w:after="240"/>
        <w:jc w:val="both"/>
      </w:pPr>
    </w:p>
    <w:p w14:paraId="01BA0D0B" w14:textId="77777777" w:rsidR="003D7881" w:rsidRDefault="00000000" w:rsidP="00445CC5">
      <w:pPr>
        <w:pBdr>
          <w:left w:val="thick" w:sz="14" w:space="10" w:color="1E40AF"/>
        </w:pBdr>
        <w:spacing w:before="280" w:after="60"/>
        <w:ind w:left="220"/>
        <w:jc w:val="both"/>
      </w:pPr>
      <w:r>
        <w:rPr>
          <w:rFonts w:cs="Arial"/>
          <w:b/>
          <w:bCs/>
          <w:color w:val="555555"/>
          <w:sz w:val="18"/>
          <w:szCs w:val="18"/>
        </w:rPr>
        <w:t xml:space="preserve">2079/80–2080/81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FY 2022/23–2023/24 AD</w:t>
      </w:r>
      <w:r>
        <w:rPr>
          <w:rFonts w:cs="Arial"/>
          <w:sz w:val="18"/>
          <w:szCs w:val="18"/>
        </w:rPr>
        <w:t xml:space="preserve">        </w:t>
      </w:r>
      <w:r>
        <w:rPr>
          <w:rFonts w:cs="Arial"/>
          <w:b/>
          <w:bCs/>
          <w:color w:val="1E40AF"/>
          <w:sz w:val="18"/>
          <w:szCs w:val="18"/>
        </w:rPr>
        <w:t>◆ MACROECONOMIC</w:t>
      </w:r>
    </w:p>
    <w:p w14:paraId="59931B63" w14:textId="77777777" w:rsidR="003D7881" w:rsidRDefault="00000000" w:rsidP="00445CC5">
      <w:pPr>
        <w:pBdr>
          <w:left w:val="thick" w:sz="14" w:space="10" w:color="DDDDDD"/>
        </w:pBdr>
        <w:spacing w:before="60" w:after="160"/>
        <w:ind w:left="220"/>
        <w:jc w:val="both"/>
      </w:pPr>
      <w:r>
        <w:rPr>
          <w:rFonts w:cs="Arial"/>
          <w:b/>
          <w:bCs/>
          <w:sz w:val="26"/>
          <w:szCs w:val="26"/>
        </w:rPr>
        <w:t>Post-COVID Economic Stagnation, Political Instability &amp; the "Lock-In Effect" Freeze Transaction Velocity</w:t>
      </w:r>
    </w:p>
    <w:p w14:paraId="7B8E8E3D" w14:textId="77777777" w:rsidR="003D7881" w:rsidRDefault="00000000" w:rsidP="00445CC5">
      <w:pPr>
        <w:pBdr>
          <w:left w:val="thick" w:sz="6" w:space="10" w:color="EEEEEE"/>
        </w:pBdr>
        <w:spacing w:after="120"/>
        <w:ind w:left="220"/>
        <w:jc w:val="both"/>
      </w:pPr>
      <w:r>
        <w:rPr>
          <w:rFonts w:cs="Arial"/>
        </w:rPr>
        <w:t xml:space="preserve">Nepal's real GDP growth plummeted to a highly subdued </w:t>
      </w:r>
      <w:r>
        <w:rPr>
          <w:rFonts w:cs="Arial"/>
          <w:b/>
          <w:bCs/>
        </w:rPr>
        <w:t>1.98% in FY 2022/23</w:t>
      </w:r>
      <w:r>
        <w:rPr>
          <w:rFonts w:cs="Arial"/>
        </w:rPr>
        <w:t xml:space="preserve">, before a modest and fragile recovery to an estimated </w:t>
      </w:r>
      <w:r>
        <w:rPr>
          <w:rFonts w:cs="Arial"/>
          <w:b/>
          <w:bCs/>
        </w:rPr>
        <w:t>3.9%–4.61%</w:t>
      </w:r>
      <w:r>
        <w:rPr>
          <w:rFonts w:cs="Arial"/>
        </w:rPr>
        <w:t xml:space="preserve"> in subsequent years.</w:t>
      </w:r>
      <w:hyperlink r:id="rId39" w:history="1">
        <w:r>
          <w:rPr>
            <w:rFonts w:cs="Arial"/>
            <w:color w:val="C4921A"/>
            <w:sz w:val="16"/>
            <w:szCs w:val="16"/>
            <w:u w:val="single" w:color="C4921A"/>
            <w:vertAlign w:val="superscript"/>
          </w:rPr>
          <w:t>[28]</w:t>
        </w:r>
      </w:hyperlink>
      <w:r>
        <w:rPr>
          <w:rFonts w:cs="Arial"/>
        </w:rPr>
        <w:t xml:space="preserve"> This was compounded by a highly unstable political landscape: youth-led unrest, frequent government coalition changes, systemic concerns about public sector corruption, and delayed capital expenditure.</w:t>
      </w:r>
      <w:hyperlink r:id="rId40" w:history="1">
        <w:r>
          <w:rPr>
            <w:rFonts w:cs="Arial"/>
            <w:color w:val="C4921A"/>
            <w:sz w:val="16"/>
            <w:szCs w:val="16"/>
            <w:u w:val="single" w:color="C4921A"/>
            <w:vertAlign w:val="superscript"/>
          </w:rPr>
          <w:t>[22]</w:t>
        </w:r>
      </w:hyperlink>
    </w:p>
    <w:p w14:paraId="26F3B2DF" w14:textId="755C9A42" w:rsidR="003D7881" w:rsidRDefault="00000000" w:rsidP="00445CC5">
      <w:pPr>
        <w:pBdr>
          <w:left w:val="thick" w:sz="6" w:space="10" w:color="EEEEEE"/>
        </w:pBdr>
        <w:spacing w:after="120"/>
        <w:ind w:left="220"/>
        <w:jc w:val="both"/>
      </w:pPr>
      <w:r>
        <w:rPr>
          <w:rFonts w:cs="Arial"/>
        </w:rPr>
        <w:t xml:space="preserve">A critical </w:t>
      </w:r>
      <w:proofErr w:type="spellStart"/>
      <w:r>
        <w:rPr>
          <w:rFonts w:cs="Arial"/>
        </w:rPr>
        <w:t>behavioural</w:t>
      </w:r>
      <w:proofErr w:type="spellEnd"/>
      <w:r>
        <w:rPr>
          <w:rFonts w:cs="Arial"/>
        </w:rPr>
        <w:t xml:space="preserve"> phenomenon amplified the stall: the </w:t>
      </w:r>
      <w:r>
        <w:rPr>
          <w:rFonts w:cs="Arial"/>
          <w:b/>
          <w:bCs/>
        </w:rPr>
        <w:t>psychological "lock-in effect."</w:t>
      </w:r>
      <w:r>
        <w:rPr>
          <w:rFonts w:cs="Arial"/>
        </w:rPr>
        <w:t xml:space="preserve"> Unlike equity markets that gap down in price immediately during a crisis, real estate markets tend to </w:t>
      </w:r>
      <w:r>
        <w:rPr>
          <w:rFonts w:cs="Arial"/>
          <w:b/>
          <w:bCs/>
        </w:rPr>
        <w:t>freeze in volume before they drop in price.</w:t>
      </w:r>
      <w:hyperlink r:id="rId41" w:history="1">
        <w:r>
          <w:rPr>
            <w:rFonts w:cs="Arial"/>
            <w:color w:val="C4921A"/>
            <w:sz w:val="16"/>
            <w:szCs w:val="16"/>
            <w:u w:val="single" w:color="C4921A"/>
            <w:vertAlign w:val="superscript"/>
          </w:rPr>
          <w:t>[30]</w:t>
        </w:r>
      </w:hyperlink>
      <w:r>
        <w:rPr>
          <w:rFonts w:cs="Arial"/>
        </w:rPr>
        <w:t xml:space="preserve"> Property owners </w:t>
      </w:r>
      <w:r w:rsidR="00445CC5">
        <w:rPr>
          <w:rFonts w:cs="Arial"/>
        </w:rPr>
        <w:t>-</w:t>
      </w:r>
      <w:r>
        <w:rPr>
          <w:rFonts w:cs="Arial"/>
        </w:rPr>
        <w:t xml:space="preserve"> anchored to the historic 2021 peak prices </w:t>
      </w:r>
      <w:r w:rsidR="00445CC5">
        <w:rPr>
          <w:rFonts w:cs="Arial"/>
        </w:rPr>
        <w:t>-</w:t>
      </w:r>
      <w:r>
        <w:rPr>
          <w:rFonts w:cs="Arial"/>
        </w:rPr>
        <w:t xml:space="preserve"> refused to sell at lower, market-clearing valuations. Buyers could not afford asking prices; sellers refused to discount. The market froze.</w:t>
      </w:r>
    </w:p>
    <w:p w14:paraId="6E21E076"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70C07DD3" w14:textId="77777777">
        <w:tblPrEx>
          <w:tblCellMar>
            <w:top w:w="0" w:type="dxa"/>
            <w:bottom w:w="0" w:type="dxa"/>
          </w:tblCellMar>
        </w:tblPrEx>
        <w:tc>
          <w:tcPr>
            <w:tcW w:w="9000" w:type="dxa"/>
            <w:tcBorders>
              <w:top w:val="none" w:sz="0" w:space="0" w:color="FFFFFF"/>
              <w:left w:val="thick" w:sz="18" w:space="0" w:color="2E8B57"/>
              <w:bottom w:val="none" w:sz="0" w:space="0" w:color="FFFFFF"/>
              <w:right w:val="none" w:sz="0" w:space="0" w:color="FFFFFF"/>
            </w:tcBorders>
            <w:shd w:val="clear" w:color="auto" w:fill="F0FAF4"/>
            <w:tcMar>
              <w:top w:w="130" w:type="dxa"/>
              <w:left w:w="220" w:type="dxa"/>
              <w:bottom w:w="130" w:type="dxa"/>
              <w:right w:w="160" w:type="dxa"/>
            </w:tcMar>
          </w:tcPr>
          <w:p w14:paraId="24AD0BB3" w14:textId="77777777" w:rsidR="003D7881" w:rsidRDefault="00000000" w:rsidP="00445CC5">
            <w:pPr>
              <w:spacing w:after="100"/>
              <w:jc w:val="both"/>
            </w:pPr>
            <w:r>
              <w:rPr>
                <w:rFonts w:cs="Arial"/>
                <w:b/>
                <w:bCs/>
                <w:caps/>
                <w:color w:val="1A5E3A"/>
                <w:sz w:val="17"/>
                <w:szCs w:val="17"/>
              </w:rPr>
              <w:t>Key Data</w:t>
            </w:r>
          </w:p>
          <w:p w14:paraId="1DA69D08" w14:textId="77777777" w:rsidR="003D7881" w:rsidRDefault="00000000" w:rsidP="00445CC5">
            <w:pPr>
              <w:pStyle w:val="ListParagraph"/>
              <w:numPr>
                <w:ilvl w:val="0"/>
                <w:numId w:val="2"/>
              </w:numPr>
              <w:spacing w:after="80"/>
              <w:jc w:val="both"/>
            </w:pPr>
            <w:r>
              <w:rPr>
                <w:b/>
                <w:bCs/>
                <w:sz w:val="19"/>
                <w:szCs w:val="19"/>
              </w:rPr>
              <w:t xml:space="preserve">Real GDP Growth FY 2022/23: </w:t>
            </w:r>
            <w:r>
              <w:rPr>
                <w:sz w:val="19"/>
                <w:szCs w:val="19"/>
              </w:rPr>
              <w:t>1.98% (highly subdued)</w:t>
            </w:r>
          </w:p>
          <w:p w14:paraId="1BE30EEE" w14:textId="77777777" w:rsidR="003D7881" w:rsidRDefault="00000000" w:rsidP="00445CC5">
            <w:pPr>
              <w:pStyle w:val="ListParagraph"/>
              <w:numPr>
                <w:ilvl w:val="0"/>
                <w:numId w:val="2"/>
              </w:numPr>
              <w:spacing w:after="80"/>
              <w:jc w:val="both"/>
            </w:pPr>
            <w:r>
              <w:rPr>
                <w:b/>
                <w:bCs/>
                <w:sz w:val="19"/>
                <w:szCs w:val="19"/>
              </w:rPr>
              <w:t xml:space="preserve">Estimated GDP Growth FY 2023/24–2024/25: </w:t>
            </w:r>
            <w:r>
              <w:rPr>
                <w:sz w:val="19"/>
                <w:szCs w:val="19"/>
              </w:rPr>
              <w:t>3.9%–4.61%</w:t>
            </w:r>
          </w:p>
        </w:tc>
      </w:tr>
    </w:tbl>
    <w:p w14:paraId="23A7FECA" w14:textId="77777777" w:rsidR="003D7881" w:rsidRDefault="003D7881" w:rsidP="00445CC5">
      <w:pPr>
        <w:spacing w:after="140"/>
        <w:jc w:val="both"/>
      </w:pPr>
    </w:p>
    <w:p w14:paraId="7EE65DE0" w14:textId="77777777" w:rsidR="003D7881" w:rsidRDefault="003D7881" w:rsidP="00445CC5">
      <w:pPr>
        <w:pBdr>
          <w:bottom w:val="single" w:sz="4" w:space="1" w:color="D6D0C8"/>
        </w:pBdr>
        <w:spacing w:before="240" w:after="240"/>
        <w:jc w:val="both"/>
      </w:pPr>
    </w:p>
    <w:p w14:paraId="66AC5A0D" w14:textId="77777777" w:rsidR="003D7881" w:rsidRDefault="00000000" w:rsidP="00445CC5">
      <w:pPr>
        <w:pBdr>
          <w:left w:val="thick" w:sz="14" w:space="10" w:color="1E40AF"/>
        </w:pBdr>
        <w:spacing w:before="280" w:after="60"/>
        <w:ind w:left="220"/>
        <w:jc w:val="both"/>
      </w:pPr>
      <w:r>
        <w:rPr>
          <w:rFonts w:cs="Arial"/>
          <w:b/>
          <w:bCs/>
          <w:color w:val="555555"/>
          <w:sz w:val="18"/>
          <w:szCs w:val="18"/>
        </w:rPr>
        <w:t xml:space="preserve">2080/81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FY 2023/24 AD</w:t>
      </w:r>
      <w:r>
        <w:rPr>
          <w:rFonts w:cs="Arial"/>
          <w:sz w:val="18"/>
          <w:szCs w:val="18"/>
        </w:rPr>
        <w:t xml:space="preserve">        </w:t>
      </w:r>
      <w:r>
        <w:rPr>
          <w:rFonts w:cs="Arial"/>
          <w:b/>
          <w:bCs/>
          <w:color w:val="1E40AF"/>
          <w:sz w:val="18"/>
          <w:szCs w:val="18"/>
        </w:rPr>
        <w:t>◆ MACROECONOMIC</w:t>
      </w:r>
    </w:p>
    <w:p w14:paraId="7D079257" w14:textId="426F8B33" w:rsidR="003D7881" w:rsidRDefault="00000000" w:rsidP="00445CC5">
      <w:pPr>
        <w:pBdr>
          <w:left w:val="thick" w:sz="14" w:space="10" w:color="DDDDDD"/>
        </w:pBdr>
        <w:spacing w:before="60" w:after="160"/>
        <w:ind w:left="220"/>
        <w:jc w:val="both"/>
      </w:pPr>
      <w:r>
        <w:rPr>
          <w:rFonts w:cs="Arial"/>
          <w:b/>
          <w:bCs/>
          <w:sz w:val="26"/>
          <w:szCs w:val="26"/>
        </w:rPr>
        <w:t xml:space="preserve">The Remittance Utility Paradox </w:t>
      </w:r>
      <w:r w:rsidR="00445CC5">
        <w:rPr>
          <w:rFonts w:cs="Arial"/>
          <w:b/>
          <w:bCs/>
          <w:sz w:val="26"/>
          <w:szCs w:val="26"/>
        </w:rPr>
        <w:t>-</w:t>
      </w:r>
      <w:r>
        <w:rPr>
          <w:rFonts w:cs="Arial"/>
          <w:b/>
          <w:bCs/>
          <w:sz w:val="26"/>
          <w:szCs w:val="26"/>
        </w:rPr>
        <w:t xml:space="preserve"> Record Nominal Inflows, Zero Market Impact: The Historic Correlation Breaks Down</w:t>
      </w:r>
    </w:p>
    <w:p w14:paraId="268609D8" w14:textId="5336E426" w:rsidR="003D7881" w:rsidRDefault="00000000" w:rsidP="00445CC5">
      <w:pPr>
        <w:pBdr>
          <w:left w:val="thick" w:sz="6" w:space="10" w:color="EEEEEE"/>
        </w:pBdr>
        <w:spacing w:after="120"/>
        <w:ind w:left="220"/>
        <w:jc w:val="both"/>
      </w:pPr>
      <w:r>
        <w:rPr>
          <w:rFonts w:cs="Arial"/>
        </w:rPr>
        <w:t xml:space="preserve">A historically unprecedented divergence occurred in FY 2023/24. While gross nominal remittance inflows reached </w:t>
      </w:r>
      <w:r>
        <w:rPr>
          <w:rFonts w:cs="Arial"/>
          <w:b/>
          <w:bCs/>
        </w:rPr>
        <w:t>nine-year record highs</w:t>
      </w:r>
      <w:r>
        <w:rPr>
          <w:rFonts w:cs="Arial"/>
        </w:rPr>
        <w:t xml:space="preserve"> </w:t>
      </w:r>
      <w:r w:rsidR="00445CC5">
        <w:rPr>
          <w:rFonts w:cs="Arial"/>
        </w:rPr>
        <w:t>-</w:t>
      </w:r>
      <w:r>
        <w:rPr>
          <w:rFonts w:cs="Arial"/>
        </w:rPr>
        <w:t xml:space="preserve"> driven by record-high outward </w:t>
      </w:r>
      <w:proofErr w:type="spellStart"/>
      <w:r>
        <w:rPr>
          <w:rFonts w:cs="Arial"/>
        </w:rPr>
        <w:t>labour</w:t>
      </w:r>
      <w:proofErr w:type="spellEnd"/>
      <w:r>
        <w:rPr>
          <w:rFonts w:cs="Arial"/>
        </w:rPr>
        <w:t xml:space="preserve"> migration </w:t>
      </w:r>
      <w:r w:rsidR="00445CC5">
        <w:rPr>
          <w:rFonts w:cs="Arial"/>
        </w:rPr>
        <w:t>-</w:t>
      </w:r>
      <w:r>
        <w:rPr>
          <w:rFonts w:cs="Arial"/>
        </w:rPr>
        <w:t xml:space="preserve"> real estate transactions simultaneously hit historic lows.</w:t>
      </w:r>
      <w:hyperlink r:id="rId42" w:history="1">
        <w:r>
          <w:rPr>
            <w:rFonts w:cs="Arial"/>
            <w:color w:val="C4921A"/>
            <w:sz w:val="16"/>
            <w:szCs w:val="16"/>
            <w:u w:val="single" w:color="C4921A"/>
            <w:vertAlign w:val="superscript"/>
          </w:rPr>
          <w:t>[29]</w:t>
        </w:r>
      </w:hyperlink>
    </w:p>
    <w:p w14:paraId="7F346F11" w14:textId="77777777" w:rsidR="003D7881" w:rsidRDefault="00000000" w:rsidP="00445CC5">
      <w:pPr>
        <w:pBdr>
          <w:left w:val="thick" w:sz="6" w:space="10" w:color="EEEEEE"/>
        </w:pBdr>
        <w:spacing w:after="120"/>
        <w:ind w:left="220"/>
        <w:jc w:val="both"/>
      </w:pPr>
      <w:r>
        <w:rPr>
          <w:rFonts w:cs="Arial"/>
        </w:rPr>
        <w:t xml:space="preserve">The cause of this decoupling: </w:t>
      </w:r>
      <w:r>
        <w:rPr>
          <w:rFonts w:cs="Arial"/>
          <w:b/>
          <w:bCs/>
        </w:rPr>
        <w:t>domestic inflation.</w:t>
      </w:r>
      <w:r>
        <w:rPr>
          <w:rFonts w:cs="Arial"/>
        </w:rPr>
        <w:t xml:space="preserve"> A significantly larger percentage of repatriated capital was immediately absorbed by </w:t>
      </w:r>
      <w:r>
        <w:rPr>
          <w:rFonts w:cs="Arial"/>
          <w:b/>
          <w:bCs/>
        </w:rPr>
        <w:t>basic household consumption, essential goods, healthcare, and debt servicing.</w:t>
      </w:r>
      <w:r>
        <w:rPr>
          <w:rFonts w:cs="Arial"/>
        </w:rPr>
        <w:t xml:space="preserve"> The surplus financial margin that families traditionally allocated for discretionary, speculative land purchases narrowed significantly.</w:t>
      </w:r>
      <w:hyperlink r:id="rId43" w:history="1">
        <w:r>
          <w:rPr>
            <w:rFonts w:cs="Arial"/>
            <w:color w:val="C4921A"/>
            <w:sz w:val="16"/>
            <w:szCs w:val="16"/>
            <w:u w:val="single" w:color="C4921A"/>
            <w:vertAlign w:val="superscript"/>
          </w:rPr>
          <w:t>[29]</w:t>
        </w:r>
      </w:hyperlink>
      <w:hyperlink r:id="rId44" w:history="1">
        <w:r>
          <w:rPr>
            <w:rFonts w:cs="Arial"/>
            <w:color w:val="C4921A"/>
            <w:sz w:val="16"/>
            <w:szCs w:val="16"/>
            <w:u w:val="single" w:color="C4921A"/>
            <w:vertAlign w:val="superscript"/>
          </w:rPr>
          <w:t>[12]</w:t>
        </w:r>
      </w:hyperlink>
    </w:p>
    <w:p w14:paraId="1995E9F2"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66998D15" w14:textId="77777777">
        <w:tblPrEx>
          <w:tblCellMar>
            <w:top w:w="0" w:type="dxa"/>
            <w:bottom w:w="0" w:type="dxa"/>
          </w:tblCellMar>
        </w:tblPrEx>
        <w:tc>
          <w:tcPr>
            <w:tcW w:w="9000" w:type="dxa"/>
            <w:tcBorders>
              <w:top w:val="none" w:sz="0" w:space="0" w:color="FFFFFF"/>
              <w:left w:val="thick" w:sz="18" w:space="0" w:color="2563AA"/>
              <w:bottom w:val="none" w:sz="0" w:space="0" w:color="FFFFFF"/>
              <w:right w:val="none" w:sz="0" w:space="0" w:color="FFFFFF"/>
            </w:tcBorders>
            <w:shd w:val="clear" w:color="auto" w:fill="EFF6FF"/>
            <w:tcMar>
              <w:top w:w="130" w:type="dxa"/>
              <w:left w:w="220" w:type="dxa"/>
              <w:bottom w:w="130" w:type="dxa"/>
              <w:right w:w="160" w:type="dxa"/>
            </w:tcMar>
          </w:tcPr>
          <w:p w14:paraId="273CABAD" w14:textId="77777777" w:rsidR="003D7881" w:rsidRDefault="00000000" w:rsidP="00445CC5">
            <w:pPr>
              <w:spacing w:after="100"/>
              <w:jc w:val="both"/>
            </w:pPr>
            <w:r>
              <w:rPr>
                <w:rFonts w:cs="Arial"/>
                <w:b/>
                <w:bCs/>
                <w:caps/>
                <w:color w:val="1A3A6E"/>
                <w:sz w:val="17"/>
                <w:szCs w:val="17"/>
              </w:rPr>
              <w:t>Analytical Finding: Inverse Correlation</w:t>
            </w:r>
          </w:p>
          <w:p w14:paraId="5D92DF9E" w14:textId="2D2729A1" w:rsidR="003D7881" w:rsidRDefault="00000000" w:rsidP="00445CC5">
            <w:pPr>
              <w:spacing w:after="90"/>
              <w:jc w:val="both"/>
            </w:pPr>
            <w:r>
              <w:rPr>
                <w:rFonts w:cs="Arial"/>
                <w:sz w:val="19"/>
                <w:szCs w:val="19"/>
              </w:rPr>
              <w:t xml:space="preserve">The report ranks this as a case of </w:t>
            </w:r>
            <w:r>
              <w:rPr>
                <w:rFonts w:cs="Arial"/>
                <w:b/>
                <w:bCs/>
                <w:sz w:val="19"/>
                <w:szCs w:val="19"/>
              </w:rPr>
              <w:t>inverse correlation</w:t>
            </w:r>
            <w:r>
              <w:rPr>
                <w:rFonts w:cs="Arial"/>
                <w:sz w:val="19"/>
                <w:szCs w:val="19"/>
              </w:rPr>
              <w:t xml:space="preserve"> (not causation) in the market deceleration. Capital was consumed by "survival economics," preventing it from being pooled for speculative land acquisition </w:t>
            </w:r>
            <w:r w:rsidR="00445CC5">
              <w:rPr>
                <w:rFonts w:cs="Arial"/>
                <w:sz w:val="19"/>
                <w:szCs w:val="19"/>
              </w:rPr>
              <w:t>-</w:t>
            </w:r>
            <w:r>
              <w:rPr>
                <w:rFonts w:cs="Arial"/>
                <w:sz w:val="19"/>
                <w:szCs w:val="19"/>
              </w:rPr>
              <w:t xml:space="preserve"> a complete reversal of the pre-2020 dynamic. The absolute dollar amount entering the country increased; the proportion available for property investment diminished.</w:t>
            </w:r>
            <w:hyperlink r:id="rId45" w:history="1">
              <w:r>
                <w:rPr>
                  <w:rFonts w:cs="Arial"/>
                  <w:color w:val="C4921A"/>
                  <w:sz w:val="16"/>
                  <w:szCs w:val="16"/>
                  <w:u w:val="single" w:color="C4921A"/>
                  <w:vertAlign w:val="superscript"/>
                </w:rPr>
                <w:t>[29]</w:t>
              </w:r>
            </w:hyperlink>
          </w:p>
        </w:tc>
      </w:tr>
    </w:tbl>
    <w:p w14:paraId="2BC652EB" w14:textId="77777777" w:rsidR="003D7881" w:rsidRDefault="003D7881" w:rsidP="00445CC5">
      <w:pPr>
        <w:spacing w:after="140"/>
        <w:jc w:val="both"/>
      </w:pPr>
    </w:p>
    <w:p w14:paraId="7267D79C" w14:textId="77777777" w:rsidR="003D7881" w:rsidRDefault="003D7881" w:rsidP="00445CC5">
      <w:pPr>
        <w:pBdr>
          <w:bottom w:val="single" w:sz="4" w:space="1" w:color="D6D0C8"/>
        </w:pBdr>
        <w:spacing w:before="240" w:after="240"/>
        <w:jc w:val="both"/>
      </w:pPr>
    </w:p>
    <w:p w14:paraId="14C77E80" w14:textId="646F9BD0" w:rsidR="003D7881" w:rsidRDefault="00000000" w:rsidP="00445CC5">
      <w:pPr>
        <w:shd w:val="clear" w:color="auto" w:fill="2C2C2C"/>
        <w:spacing w:before="440"/>
        <w:ind w:left="200" w:right="200"/>
        <w:jc w:val="both"/>
      </w:pPr>
      <w:r>
        <w:rPr>
          <w:rFonts w:cs="Arial"/>
          <w:b/>
          <w:bCs/>
          <w:color w:val="FFFFFF"/>
          <w:sz w:val="26"/>
          <w:szCs w:val="26"/>
        </w:rPr>
        <w:t xml:space="preserve">PHASE IV </w:t>
      </w:r>
      <w:r w:rsidR="00445CC5">
        <w:rPr>
          <w:rFonts w:cs="Arial"/>
          <w:b/>
          <w:bCs/>
          <w:color w:val="FFFFFF"/>
          <w:sz w:val="26"/>
          <w:szCs w:val="26"/>
        </w:rPr>
        <w:t>-</w:t>
      </w:r>
      <w:r>
        <w:rPr>
          <w:rFonts w:cs="Arial"/>
          <w:b/>
          <w:bCs/>
          <w:color w:val="FFFFFF"/>
          <w:sz w:val="26"/>
          <w:szCs w:val="26"/>
        </w:rPr>
        <w:t xml:space="preserve"> The Regulatory Assault: Legal Interventions That Paralyzed the Market</w:t>
      </w:r>
    </w:p>
    <w:p w14:paraId="444CAD85" w14:textId="77777777" w:rsidR="003D7881" w:rsidRDefault="00000000" w:rsidP="00445CC5">
      <w:pPr>
        <w:shd w:val="clear" w:color="auto" w:fill="2C2C2C"/>
        <w:spacing w:after="320"/>
        <w:ind w:left="200" w:right="200"/>
        <w:jc w:val="both"/>
      </w:pPr>
      <w:r>
        <w:rPr>
          <w:rFonts w:cs="Arial"/>
          <w:i/>
          <w:iCs/>
          <w:color w:val="D4C5A8"/>
          <w:sz w:val="19"/>
          <w:szCs w:val="19"/>
        </w:rPr>
        <w:t>2022 – 2025   ·   2079–2082 BS</w:t>
      </w:r>
    </w:p>
    <w:p w14:paraId="4CA9A9EC" w14:textId="6B156C00" w:rsidR="003D7881" w:rsidRDefault="00000000" w:rsidP="00445CC5">
      <w:pPr>
        <w:pBdr>
          <w:left w:val="thick" w:sz="14" w:space="10" w:color="991B1B"/>
        </w:pBdr>
        <w:spacing w:before="280" w:after="60"/>
        <w:ind w:left="220"/>
        <w:jc w:val="both"/>
      </w:pPr>
      <w:r>
        <w:rPr>
          <w:rFonts w:cs="Arial"/>
          <w:b/>
          <w:bCs/>
          <w:color w:val="555555"/>
          <w:sz w:val="18"/>
          <w:szCs w:val="18"/>
        </w:rPr>
        <w:t xml:space="preserve">Late 2079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 xml:space="preserve">Late 2022 AD </w:t>
      </w:r>
      <w:r w:rsidR="00445CC5">
        <w:rPr>
          <w:rFonts w:cs="Arial"/>
          <w:b/>
          <w:bCs/>
          <w:color w:val="555555"/>
          <w:sz w:val="18"/>
          <w:szCs w:val="18"/>
        </w:rPr>
        <w:t>-</w:t>
      </w:r>
      <w:r>
        <w:rPr>
          <w:rFonts w:cs="Arial"/>
          <w:b/>
          <w:bCs/>
          <w:color w:val="555555"/>
          <w:sz w:val="18"/>
          <w:szCs w:val="18"/>
        </w:rPr>
        <w:t xml:space="preserve"> PRIMARY CAUSE OF MARKET COLLAPSE</w:t>
      </w:r>
      <w:r>
        <w:rPr>
          <w:rFonts w:cs="Arial"/>
          <w:sz w:val="18"/>
          <w:szCs w:val="18"/>
        </w:rPr>
        <w:t xml:space="preserve">        </w:t>
      </w:r>
      <w:r>
        <w:rPr>
          <w:rFonts w:cs="Arial"/>
          <w:b/>
          <w:bCs/>
          <w:color w:val="991B1B"/>
          <w:sz w:val="18"/>
          <w:szCs w:val="18"/>
        </w:rPr>
        <w:t>◆ REGULATORY / LEGAL</w:t>
      </w:r>
    </w:p>
    <w:p w14:paraId="23E89E13" w14:textId="50762106" w:rsidR="003D7881" w:rsidRDefault="00000000" w:rsidP="00445CC5">
      <w:pPr>
        <w:pBdr>
          <w:left w:val="thick" w:sz="14" w:space="10" w:color="DDDDDD"/>
        </w:pBdr>
        <w:spacing w:before="60" w:after="160"/>
        <w:ind w:left="220"/>
        <w:jc w:val="both"/>
      </w:pPr>
      <w:r>
        <w:rPr>
          <w:rFonts w:cs="Arial"/>
          <w:b/>
          <w:bCs/>
          <w:color w:val="991B1B"/>
          <w:sz w:val="26"/>
          <w:szCs w:val="26"/>
        </w:rPr>
        <w:t xml:space="preserve">WARNING: PRIMARY CAUSE OF MARKET COLLAPSE </w:t>
      </w:r>
      <w:r w:rsidR="00445CC5">
        <w:rPr>
          <w:rFonts w:cs="Arial"/>
          <w:b/>
          <w:bCs/>
          <w:color w:val="991B1B"/>
          <w:sz w:val="26"/>
          <w:szCs w:val="26"/>
        </w:rPr>
        <w:t>-</w:t>
      </w:r>
      <w:r>
        <w:rPr>
          <w:rFonts w:cs="Arial"/>
          <w:b/>
          <w:bCs/>
          <w:color w:val="991B1B"/>
          <w:sz w:val="26"/>
          <w:szCs w:val="26"/>
        </w:rPr>
        <w:t xml:space="preserve"> Land Use Regulation 2079: The "Kitta Kat Ban" Halts Plotting in 620+ Municipalities</w:t>
      </w:r>
    </w:p>
    <w:p w14:paraId="2E05027D" w14:textId="77777777" w:rsidR="003D7881" w:rsidRDefault="00000000" w:rsidP="00445CC5">
      <w:pPr>
        <w:pBdr>
          <w:left w:val="thick" w:sz="6" w:space="10" w:color="EEEEEE"/>
        </w:pBdr>
        <w:spacing w:after="120"/>
        <w:ind w:left="220"/>
        <w:jc w:val="both"/>
      </w:pPr>
      <w:r>
        <w:rPr>
          <w:rFonts w:cs="Arial"/>
        </w:rPr>
        <w:t xml:space="preserve">The Land Use Regulation 2079 </w:t>
      </w:r>
      <w:r>
        <w:rPr>
          <w:rFonts w:cs="Arial"/>
          <w:b/>
          <w:bCs/>
        </w:rPr>
        <w:t>explicitly and strictly prohibited</w:t>
      </w:r>
      <w:r>
        <w:rPr>
          <w:rFonts w:cs="Arial"/>
        </w:rPr>
        <w:t xml:space="preserve"> commercial plotting (</w:t>
      </w:r>
      <w:proofErr w:type="spellStart"/>
      <w:r>
        <w:rPr>
          <w:rFonts w:cs="Arial"/>
        </w:rPr>
        <w:t>kitta</w:t>
      </w:r>
      <w:proofErr w:type="spellEnd"/>
      <w:r>
        <w:rPr>
          <w:rFonts w:cs="Arial"/>
        </w:rPr>
        <w:t xml:space="preserve"> kat) and the subsequent sale of land in any area unless officially classified and </w:t>
      </w:r>
      <w:proofErr w:type="spellStart"/>
      <w:r>
        <w:rPr>
          <w:rFonts w:cs="Arial"/>
        </w:rPr>
        <w:t>gazetted</w:t>
      </w:r>
      <w:proofErr w:type="spellEnd"/>
      <w:r>
        <w:rPr>
          <w:rFonts w:cs="Arial"/>
        </w:rPr>
        <w:t xml:space="preserve"> by the local government as "Residential" or "Commercial."</w:t>
      </w:r>
      <w:hyperlink r:id="rId46" w:history="1">
        <w:r>
          <w:rPr>
            <w:rFonts w:cs="Arial"/>
            <w:color w:val="C4921A"/>
            <w:sz w:val="16"/>
            <w:szCs w:val="16"/>
            <w:u w:val="single" w:color="C4921A"/>
            <w:vertAlign w:val="superscript"/>
          </w:rPr>
          <w:t>[4]</w:t>
        </w:r>
      </w:hyperlink>
    </w:p>
    <w:p w14:paraId="113D491C" w14:textId="77777777" w:rsidR="003D7881" w:rsidRDefault="00000000" w:rsidP="00445CC5">
      <w:pPr>
        <w:pBdr>
          <w:left w:val="thick" w:sz="6" w:space="10" w:color="EEEEEE"/>
        </w:pBdr>
        <w:spacing w:after="120"/>
        <w:ind w:left="220"/>
        <w:jc w:val="both"/>
      </w:pPr>
      <w:r>
        <w:rPr>
          <w:rFonts w:cs="Arial"/>
          <w:b/>
          <w:bCs/>
        </w:rPr>
        <w:t>Strict minimum lot sizes</w:t>
      </w:r>
      <w:r>
        <w:rPr>
          <w:rFonts w:cs="Arial"/>
        </w:rPr>
        <w:t xml:space="preserve"> were instituted to prevent micro-fragmentation:</w:t>
      </w:r>
      <w:hyperlink r:id="rId47" w:history="1">
        <w:r>
          <w:rPr>
            <w:rFonts w:cs="Arial"/>
            <w:color w:val="C4921A"/>
            <w:sz w:val="16"/>
            <w:szCs w:val="16"/>
            <w:u w:val="single" w:color="C4921A"/>
            <w:vertAlign w:val="superscript"/>
          </w:rPr>
          <w:t>[31]</w:t>
        </w:r>
      </w:hyperlink>
    </w:p>
    <w:p w14:paraId="772A6686" w14:textId="77777777" w:rsidR="003D7881" w:rsidRDefault="00000000" w:rsidP="00445CC5">
      <w:pPr>
        <w:pStyle w:val="ListParagraph"/>
        <w:numPr>
          <w:ilvl w:val="0"/>
          <w:numId w:val="3"/>
        </w:numPr>
        <w:pBdr>
          <w:left w:val="thick" w:sz="6" w:space="10" w:color="EEEEEE"/>
        </w:pBdr>
        <w:spacing w:after="80"/>
        <w:jc w:val="both"/>
      </w:pPr>
      <w:r>
        <w:t xml:space="preserve">Residential land: minimum </w:t>
      </w:r>
      <w:r>
        <w:rPr>
          <w:b/>
          <w:bCs/>
        </w:rPr>
        <w:t xml:space="preserve">80 square </w:t>
      </w:r>
      <w:proofErr w:type="spellStart"/>
      <w:r>
        <w:rPr>
          <w:b/>
          <w:bCs/>
        </w:rPr>
        <w:t>metres</w:t>
      </w:r>
      <w:proofErr w:type="spellEnd"/>
    </w:p>
    <w:p w14:paraId="30AC1B17" w14:textId="77777777" w:rsidR="003D7881" w:rsidRDefault="00000000" w:rsidP="00445CC5">
      <w:pPr>
        <w:pStyle w:val="ListParagraph"/>
        <w:numPr>
          <w:ilvl w:val="0"/>
          <w:numId w:val="3"/>
        </w:numPr>
        <w:pBdr>
          <w:left w:val="thick" w:sz="6" w:space="10" w:color="EEEEEE"/>
        </w:pBdr>
        <w:spacing w:after="80"/>
        <w:jc w:val="both"/>
      </w:pPr>
      <w:r>
        <w:t xml:space="preserve">Agricultural land in Kathmandu Valley: minimum </w:t>
      </w:r>
      <w:r>
        <w:rPr>
          <w:b/>
          <w:bCs/>
        </w:rPr>
        <w:t xml:space="preserve">500 square </w:t>
      </w:r>
      <w:proofErr w:type="spellStart"/>
      <w:r>
        <w:rPr>
          <w:b/>
          <w:bCs/>
        </w:rPr>
        <w:t>metres</w:t>
      </w:r>
      <w:proofErr w:type="spellEnd"/>
    </w:p>
    <w:p w14:paraId="5598174C" w14:textId="77777777" w:rsidR="003D7881" w:rsidRDefault="00000000" w:rsidP="00445CC5">
      <w:pPr>
        <w:pStyle w:val="ListParagraph"/>
        <w:numPr>
          <w:ilvl w:val="0"/>
          <w:numId w:val="3"/>
        </w:numPr>
        <w:pBdr>
          <w:left w:val="thick" w:sz="6" w:space="10" w:color="EEEEEE"/>
        </w:pBdr>
        <w:spacing w:after="80"/>
        <w:jc w:val="both"/>
      </w:pPr>
      <w:r>
        <w:t xml:space="preserve">Agricultural land in Terai and Inner Madhesh: minimum </w:t>
      </w:r>
      <w:r>
        <w:rPr>
          <w:b/>
          <w:bCs/>
        </w:rPr>
        <w:t xml:space="preserve">675 square </w:t>
      </w:r>
      <w:proofErr w:type="spellStart"/>
      <w:r>
        <w:rPr>
          <w:b/>
          <w:bCs/>
        </w:rPr>
        <w:t>metres</w:t>
      </w:r>
      <w:proofErr w:type="spellEnd"/>
    </w:p>
    <w:p w14:paraId="46C2A590" w14:textId="77777777" w:rsidR="003D7881" w:rsidRDefault="00000000" w:rsidP="00445CC5">
      <w:pPr>
        <w:pBdr>
          <w:left w:val="thick" w:sz="6" w:space="10" w:color="EEEEEE"/>
        </w:pBdr>
        <w:spacing w:after="120"/>
        <w:ind w:left="220"/>
        <w:jc w:val="both"/>
      </w:pPr>
      <w:r>
        <w:rPr>
          <w:rFonts w:cs="Arial"/>
          <w:b/>
          <w:bCs/>
        </w:rPr>
        <w:t>The Administrative Catastrophe:</w:t>
      </w:r>
      <w:r>
        <w:rPr>
          <w:rFonts w:cs="Arial"/>
        </w:rPr>
        <w:t xml:space="preserve"> Local governments were given a strict </w:t>
      </w:r>
      <w:r>
        <w:rPr>
          <w:rFonts w:cs="Arial"/>
          <w:b/>
          <w:bCs/>
        </w:rPr>
        <w:t>six-month deadline</w:t>
      </w:r>
      <w:r>
        <w:rPr>
          <w:rFonts w:cs="Arial"/>
        </w:rPr>
        <w:t xml:space="preserve"> to complete this highly complex classification process. However, the vast majority entirely lacked: technical capacity, GIS mapping resources, trained cadastral personnel, and local political consensus. Land administration and subdivision were </w:t>
      </w:r>
      <w:r>
        <w:rPr>
          <w:rFonts w:cs="Arial"/>
          <w:b/>
          <w:bCs/>
        </w:rPr>
        <w:t>completely halted by the federal government in over 620 municipalities.</w:t>
      </w:r>
      <w:hyperlink r:id="rId48" w:history="1">
        <w:r>
          <w:rPr>
            <w:rFonts w:cs="Arial"/>
            <w:color w:val="C4921A"/>
            <w:sz w:val="16"/>
            <w:szCs w:val="16"/>
            <w:u w:val="single" w:color="C4921A"/>
            <w:vertAlign w:val="superscript"/>
          </w:rPr>
          <w:t>[32]</w:t>
        </w:r>
      </w:hyperlink>
      <w:r>
        <w:rPr>
          <w:rFonts w:cs="Arial"/>
        </w:rPr>
        <w:t xml:space="preserve"> Because landowners could not legally subdivide their property to sell, </w:t>
      </w:r>
      <w:r>
        <w:rPr>
          <w:rFonts w:cs="Arial"/>
          <w:b/>
          <w:bCs/>
        </w:rPr>
        <w:t>the supply of tradable real estate evaporated overnight.</w:t>
      </w:r>
    </w:p>
    <w:p w14:paraId="34564ED1"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2C75B196" w14:textId="77777777">
        <w:tblPrEx>
          <w:tblCellMar>
            <w:top w:w="0" w:type="dxa"/>
            <w:bottom w:w="0" w:type="dxa"/>
          </w:tblCellMar>
        </w:tblPrEx>
        <w:tc>
          <w:tcPr>
            <w:tcW w:w="9000" w:type="dxa"/>
            <w:tcBorders>
              <w:top w:val="none" w:sz="0" w:space="0" w:color="FFFFFF"/>
              <w:left w:val="thick" w:sz="18" w:space="0" w:color="2E8B57"/>
              <w:bottom w:val="none" w:sz="0" w:space="0" w:color="FFFFFF"/>
              <w:right w:val="none" w:sz="0" w:space="0" w:color="FFFFFF"/>
            </w:tcBorders>
            <w:shd w:val="clear" w:color="auto" w:fill="F0FAF4"/>
            <w:tcMar>
              <w:top w:w="130" w:type="dxa"/>
              <w:left w:w="220" w:type="dxa"/>
              <w:bottom w:w="130" w:type="dxa"/>
              <w:right w:w="160" w:type="dxa"/>
            </w:tcMar>
          </w:tcPr>
          <w:p w14:paraId="6E1A8908" w14:textId="77777777" w:rsidR="003D7881" w:rsidRDefault="00000000" w:rsidP="00445CC5">
            <w:pPr>
              <w:spacing w:after="100"/>
              <w:jc w:val="both"/>
            </w:pPr>
            <w:r>
              <w:rPr>
                <w:rFonts w:cs="Arial"/>
                <w:b/>
                <w:bCs/>
                <w:caps/>
                <w:color w:val="1A5E3A"/>
                <w:sz w:val="17"/>
                <w:szCs w:val="17"/>
              </w:rPr>
              <w:t>Key Data</w:t>
            </w:r>
          </w:p>
          <w:p w14:paraId="0B07E155" w14:textId="77777777" w:rsidR="003D7881" w:rsidRDefault="00000000" w:rsidP="00445CC5">
            <w:pPr>
              <w:pStyle w:val="ListParagraph"/>
              <w:numPr>
                <w:ilvl w:val="0"/>
                <w:numId w:val="2"/>
              </w:numPr>
              <w:spacing w:after="80"/>
              <w:jc w:val="both"/>
            </w:pPr>
            <w:r>
              <w:rPr>
                <w:sz w:val="19"/>
                <w:szCs w:val="19"/>
              </w:rPr>
              <w:t xml:space="preserve">Transaction volumes slumped by </w:t>
            </w:r>
            <w:r>
              <w:rPr>
                <w:b/>
                <w:bCs/>
                <w:sz w:val="19"/>
                <w:szCs w:val="19"/>
              </w:rPr>
              <w:t>nearly 50% nationwide</w:t>
            </w:r>
            <w:r>
              <w:rPr>
                <w:sz w:val="19"/>
                <w:szCs w:val="19"/>
              </w:rPr>
              <w:t xml:space="preserve"> within the first quarter of implementation</w:t>
            </w:r>
            <w:hyperlink r:id="rId49" w:history="1">
              <w:r>
                <w:rPr>
                  <w:color w:val="C4921A"/>
                  <w:sz w:val="16"/>
                  <w:szCs w:val="16"/>
                  <w:u w:val="single" w:color="C4921A"/>
                  <w:vertAlign w:val="superscript"/>
                </w:rPr>
                <w:t>[4]</w:t>
              </w:r>
            </w:hyperlink>
          </w:p>
          <w:p w14:paraId="485C433C" w14:textId="77777777" w:rsidR="003D7881" w:rsidRDefault="00000000" w:rsidP="00445CC5">
            <w:pPr>
              <w:pStyle w:val="ListParagraph"/>
              <w:numPr>
                <w:ilvl w:val="0"/>
                <w:numId w:val="2"/>
              </w:numPr>
              <w:spacing w:after="80"/>
              <w:jc w:val="both"/>
            </w:pPr>
            <w:r>
              <w:rPr>
                <w:sz w:val="19"/>
                <w:szCs w:val="19"/>
              </w:rPr>
              <w:t xml:space="preserve">Land plots created collapsed by </w:t>
            </w:r>
            <w:r>
              <w:rPr>
                <w:b/>
                <w:bCs/>
                <w:sz w:val="19"/>
                <w:szCs w:val="19"/>
              </w:rPr>
              <w:t>60%</w:t>
            </w:r>
            <w:r>
              <w:rPr>
                <w:sz w:val="19"/>
                <w:szCs w:val="19"/>
              </w:rPr>
              <w:t xml:space="preserve">: from 1,612,000 (FY 2078/79) to only </w:t>
            </w:r>
            <w:r>
              <w:rPr>
                <w:b/>
                <w:bCs/>
                <w:color w:val="991B1B"/>
                <w:sz w:val="19"/>
                <w:szCs w:val="19"/>
              </w:rPr>
              <w:t>285,000 plots</w:t>
            </w:r>
            <w:r>
              <w:rPr>
                <w:sz w:val="19"/>
                <w:szCs w:val="19"/>
              </w:rPr>
              <w:t xml:space="preserve"> (FY 2079/80)</w:t>
            </w:r>
            <w:hyperlink r:id="rId50" w:history="1">
              <w:r>
                <w:rPr>
                  <w:color w:val="C4921A"/>
                  <w:sz w:val="16"/>
                  <w:szCs w:val="16"/>
                  <w:u w:val="single" w:color="C4921A"/>
                  <w:vertAlign w:val="superscript"/>
                </w:rPr>
                <w:t>[2]</w:t>
              </w:r>
            </w:hyperlink>
          </w:p>
          <w:p w14:paraId="168C27F8" w14:textId="77777777" w:rsidR="003D7881" w:rsidRDefault="00000000" w:rsidP="00445CC5">
            <w:pPr>
              <w:pStyle w:val="ListParagraph"/>
              <w:numPr>
                <w:ilvl w:val="0"/>
                <w:numId w:val="2"/>
              </w:numPr>
              <w:spacing w:after="80"/>
              <w:jc w:val="both"/>
            </w:pPr>
            <w:r>
              <w:rPr>
                <w:sz w:val="19"/>
                <w:szCs w:val="19"/>
              </w:rPr>
              <w:t xml:space="preserve">Government revenue fell by </w:t>
            </w:r>
            <w:r>
              <w:rPr>
                <w:b/>
                <w:bCs/>
                <w:sz w:val="19"/>
                <w:szCs w:val="19"/>
              </w:rPr>
              <w:t>29% year-over-year</w:t>
            </w:r>
            <w:r>
              <w:rPr>
                <w:sz w:val="19"/>
                <w:szCs w:val="19"/>
              </w:rPr>
              <w:t>: Rs. 57.66B → Rs. 41.15B</w:t>
            </w:r>
            <w:hyperlink r:id="rId51" w:history="1">
              <w:r>
                <w:rPr>
                  <w:color w:val="C4921A"/>
                  <w:sz w:val="16"/>
                  <w:szCs w:val="16"/>
                  <w:u w:val="single" w:color="C4921A"/>
                  <w:vertAlign w:val="superscript"/>
                </w:rPr>
                <w:t>[2]</w:t>
              </w:r>
            </w:hyperlink>
          </w:p>
          <w:p w14:paraId="19E62066" w14:textId="77777777" w:rsidR="003D7881" w:rsidRDefault="00000000" w:rsidP="00445CC5">
            <w:pPr>
              <w:pStyle w:val="ListParagraph"/>
              <w:numPr>
                <w:ilvl w:val="0"/>
                <w:numId w:val="2"/>
              </w:numPr>
              <w:spacing w:after="80"/>
              <w:jc w:val="both"/>
            </w:pPr>
            <w:r>
              <w:rPr>
                <w:sz w:val="19"/>
                <w:szCs w:val="19"/>
              </w:rPr>
              <w:t xml:space="preserve">By mid-2024, approximately </w:t>
            </w:r>
            <w:r>
              <w:rPr>
                <w:b/>
                <w:bCs/>
                <w:sz w:val="19"/>
                <w:szCs w:val="19"/>
              </w:rPr>
              <w:t>500 municipalities</w:t>
            </w:r>
            <w:r>
              <w:rPr>
                <w:sz w:val="19"/>
                <w:szCs w:val="19"/>
              </w:rPr>
              <w:t xml:space="preserve"> had still failed to completely classify their land</w:t>
            </w:r>
            <w:hyperlink r:id="rId52" w:history="1">
              <w:r>
                <w:rPr>
                  <w:color w:val="C4921A"/>
                  <w:sz w:val="16"/>
                  <w:szCs w:val="16"/>
                  <w:u w:val="single" w:color="C4921A"/>
                  <w:vertAlign w:val="superscript"/>
                </w:rPr>
                <w:t>[31]</w:t>
              </w:r>
            </w:hyperlink>
          </w:p>
        </w:tc>
      </w:tr>
    </w:tbl>
    <w:p w14:paraId="3A2A9ABD" w14:textId="77777777" w:rsidR="003D7881" w:rsidRDefault="003D7881" w:rsidP="00445CC5">
      <w:pPr>
        <w:spacing w:after="8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19E0386B" w14:textId="77777777">
        <w:tblPrEx>
          <w:tblCellMar>
            <w:top w:w="0" w:type="dxa"/>
            <w:bottom w:w="0" w:type="dxa"/>
          </w:tblCellMar>
        </w:tblPrEx>
        <w:tc>
          <w:tcPr>
            <w:tcW w:w="9000" w:type="dxa"/>
            <w:tcBorders>
              <w:top w:val="none" w:sz="0" w:space="0" w:color="FFFFFF"/>
              <w:left w:val="thick" w:sz="18" w:space="0" w:color="CC2222"/>
              <w:bottom w:val="none" w:sz="0" w:space="0" w:color="FFFFFF"/>
              <w:right w:val="none" w:sz="0" w:space="0" w:color="FFFFFF"/>
            </w:tcBorders>
            <w:shd w:val="clear" w:color="auto" w:fill="FEF5F5"/>
            <w:tcMar>
              <w:top w:w="130" w:type="dxa"/>
              <w:left w:w="220" w:type="dxa"/>
              <w:bottom w:w="130" w:type="dxa"/>
              <w:right w:w="160" w:type="dxa"/>
            </w:tcMar>
          </w:tcPr>
          <w:p w14:paraId="0F7F16EF" w14:textId="77777777" w:rsidR="003D7881" w:rsidRDefault="00000000" w:rsidP="00445CC5">
            <w:pPr>
              <w:spacing w:after="100"/>
              <w:jc w:val="both"/>
            </w:pPr>
            <w:r>
              <w:rPr>
                <w:rFonts w:cs="Arial"/>
                <w:b/>
                <w:bCs/>
                <w:caps/>
                <w:color w:val="8B1A1A"/>
                <w:sz w:val="17"/>
                <w:szCs w:val="17"/>
              </w:rPr>
              <w:t>Analytical Verdict</w:t>
            </w:r>
          </w:p>
          <w:p w14:paraId="199F933D" w14:textId="7D31C54D" w:rsidR="003D7881" w:rsidRDefault="00000000" w:rsidP="00445CC5">
            <w:pPr>
              <w:spacing w:after="90"/>
              <w:jc w:val="both"/>
            </w:pPr>
            <w:r>
              <w:rPr>
                <w:rFonts w:cs="Arial"/>
                <w:b/>
                <w:bCs/>
                <w:sz w:val="19"/>
                <w:szCs w:val="19"/>
              </w:rPr>
              <w:t xml:space="preserve">Ranked #1 </w:t>
            </w:r>
            <w:r w:rsidR="00445CC5">
              <w:rPr>
                <w:rFonts w:cs="Arial"/>
                <w:b/>
                <w:bCs/>
                <w:sz w:val="19"/>
                <w:szCs w:val="19"/>
              </w:rPr>
              <w:t>-</w:t>
            </w:r>
            <w:r>
              <w:rPr>
                <w:rFonts w:cs="Arial"/>
                <w:b/>
                <w:bCs/>
                <w:sz w:val="19"/>
                <w:szCs w:val="19"/>
              </w:rPr>
              <w:t xml:space="preserve"> Primary Causation. </w:t>
            </w:r>
            <w:r>
              <w:rPr>
                <w:rFonts w:cs="Arial"/>
                <w:sz w:val="19"/>
                <w:szCs w:val="19"/>
              </w:rPr>
              <w:t xml:space="preserve">The empirical evidence designates this as the absolute primary and immediate cause of the market collapse </w:t>
            </w:r>
            <w:r w:rsidR="00445CC5">
              <w:rPr>
                <w:rFonts w:cs="Arial"/>
                <w:sz w:val="19"/>
                <w:szCs w:val="19"/>
              </w:rPr>
              <w:t>-</w:t>
            </w:r>
            <w:r>
              <w:rPr>
                <w:rFonts w:cs="Arial"/>
                <w:sz w:val="19"/>
                <w:szCs w:val="19"/>
              </w:rPr>
              <w:t xml:space="preserve"> a severe supply-side shock engineered entirely by administrative bottlenecking and lack of local government capacity. </w:t>
            </w:r>
            <w:r>
              <w:rPr>
                <w:rFonts w:cs="Arial"/>
                <w:b/>
                <w:bCs/>
                <w:sz w:val="19"/>
                <w:szCs w:val="19"/>
              </w:rPr>
              <w:t>Not a natural market correction.</w:t>
            </w:r>
            <w:r>
              <w:rPr>
                <w:rFonts w:cs="Arial"/>
                <w:sz w:val="19"/>
                <w:szCs w:val="19"/>
              </w:rPr>
              <w:t xml:space="preserve"> The data proves a direct, instantaneous causal link between the federal prohibition and the 50% drop in national transactions.</w:t>
            </w:r>
            <w:hyperlink r:id="rId53" w:history="1">
              <w:r>
                <w:rPr>
                  <w:rFonts w:cs="Arial"/>
                  <w:color w:val="C4921A"/>
                  <w:sz w:val="16"/>
                  <w:szCs w:val="16"/>
                  <w:u w:val="single" w:color="C4921A"/>
                  <w:vertAlign w:val="superscript"/>
                </w:rPr>
                <w:t>[63]</w:t>
              </w:r>
            </w:hyperlink>
          </w:p>
        </w:tc>
      </w:tr>
    </w:tbl>
    <w:p w14:paraId="49E12F9F" w14:textId="77777777" w:rsidR="003D7881" w:rsidRDefault="003D7881" w:rsidP="00445CC5">
      <w:pPr>
        <w:spacing w:after="140"/>
        <w:jc w:val="both"/>
      </w:pPr>
    </w:p>
    <w:p w14:paraId="5EECBCED" w14:textId="77777777" w:rsidR="003D7881" w:rsidRDefault="003D7881" w:rsidP="00445CC5">
      <w:pPr>
        <w:pBdr>
          <w:bottom w:val="single" w:sz="4" w:space="1" w:color="D6D0C8"/>
        </w:pBdr>
        <w:spacing w:before="240" w:after="240"/>
        <w:jc w:val="both"/>
      </w:pPr>
    </w:p>
    <w:p w14:paraId="3B18CBF4" w14:textId="77777777" w:rsidR="003D7881" w:rsidRDefault="00000000" w:rsidP="00445CC5">
      <w:pPr>
        <w:pBdr>
          <w:left w:val="thick" w:sz="14" w:space="10" w:color="065F46"/>
        </w:pBdr>
        <w:spacing w:before="280" w:after="60"/>
        <w:ind w:left="220"/>
        <w:jc w:val="both"/>
      </w:pPr>
      <w:r>
        <w:rPr>
          <w:rFonts w:cs="Arial"/>
          <w:b/>
          <w:bCs/>
          <w:color w:val="555555"/>
          <w:sz w:val="18"/>
          <w:szCs w:val="18"/>
        </w:rPr>
        <w:t xml:space="preserve">2079/80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FY 2022/23 AD</w:t>
      </w:r>
      <w:r>
        <w:rPr>
          <w:rFonts w:cs="Arial"/>
          <w:sz w:val="18"/>
          <w:szCs w:val="18"/>
        </w:rPr>
        <w:t xml:space="preserve">        </w:t>
      </w:r>
      <w:r>
        <w:rPr>
          <w:rFonts w:cs="Arial"/>
          <w:b/>
          <w:bCs/>
          <w:color w:val="065F46"/>
          <w:sz w:val="18"/>
          <w:szCs w:val="18"/>
        </w:rPr>
        <w:t>◆ MARKET DATA</w:t>
      </w:r>
    </w:p>
    <w:p w14:paraId="41553325" w14:textId="1F0F474D" w:rsidR="003D7881" w:rsidRDefault="00000000" w:rsidP="00445CC5">
      <w:pPr>
        <w:pBdr>
          <w:left w:val="thick" w:sz="14" w:space="10" w:color="DDDDDD"/>
        </w:pBdr>
        <w:spacing w:before="60" w:after="160"/>
        <w:ind w:left="220"/>
        <w:jc w:val="both"/>
      </w:pPr>
      <w:r>
        <w:rPr>
          <w:rFonts w:cs="Arial"/>
          <w:b/>
          <w:bCs/>
          <w:sz w:val="26"/>
          <w:szCs w:val="26"/>
        </w:rPr>
        <w:t xml:space="preserve">Annual Market Data: Policy Contraction Confirmed </w:t>
      </w:r>
      <w:r w:rsidR="00445CC5">
        <w:rPr>
          <w:rFonts w:cs="Arial"/>
          <w:b/>
          <w:bCs/>
          <w:sz w:val="26"/>
          <w:szCs w:val="26"/>
        </w:rPr>
        <w:t>-</w:t>
      </w:r>
      <w:r>
        <w:rPr>
          <w:rFonts w:cs="Arial"/>
          <w:b/>
          <w:bCs/>
          <w:sz w:val="26"/>
          <w:szCs w:val="26"/>
        </w:rPr>
        <w:t xml:space="preserve"> Deeds, Plots, and Revenue All Collapse</w:t>
      </w:r>
    </w:p>
    <w:p w14:paraId="7C97F4AB" w14:textId="77777777" w:rsidR="003D7881" w:rsidRDefault="00000000" w:rsidP="00445CC5">
      <w:pPr>
        <w:pBdr>
          <w:left w:val="thick" w:sz="6" w:space="10" w:color="EEEEEE"/>
        </w:pBdr>
        <w:spacing w:after="120"/>
        <w:ind w:left="220"/>
        <w:jc w:val="both"/>
      </w:pPr>
      <w:r>
        <w:rPr>
          <w:rFonts w:cs="Arial"/>
        </w:rPr>
        <w:t>Full-year data for FY 2079/80 confirms the devastating and immediate impact of the Land Use Regulation enforcement.</w:t>
      </w:r>
      <w:hyperlink r:id="rId54" w:history="1">
        <w:r>
          <w:rPr>
            <w:rFonts w:cs="Arial"/>
            <w:color w:val="C4921A"/>
            <w:sz w:val="16"/>
            <w:szCs w:val="16"/>
            <w:u w:val="single" w:color="C4921A"/>
            <w:vertAlign w:val="superscript"/>
          </w:rPr>
          <w:t>[2]</w:t>
        </w:r>
      </w:hyperlink>
    </w:p>
    <w:p w14:paraId="6C924957"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7DCD4611" w14:textId="77777777">
        <w:tblPrEx>
          <w:tblCellMar>
            <w:top w:w="0" w:type="dxa"/>
            <w:bottom w:w="0" w:type="dxa"/>
          </w:tblCellMar>
        </w:tblPrEx>
        <w:tc>
          <w:tcPr>
            <w:tcW w:w="9000" w:type="dxa"/>
            <w:tcBorders>
              <w:top w:val="none" w:sz="0" w:space="0" w:color="FFFFFF"/>
              <w:left w:val="thick" w:sz="18" w:space="0" w:color="2E8B57"/>
              <w:bottom w:val="none" w:sz="0" w:space="0" w:color="FFFFFF"/>
              <w:right w:val="none" w:sz="0" w:space="0" w:color="FFFFFF"/>
            </w:tcBorders>
            <w:shd w:val="clear" w:color="auto" w:fill="F0FAF4"/>
            <w:tcMar>
              <w:top w:w="130" w:type="dxa"/>
              <w:left w:w="220" w:type="dxa"/>
              <w:bottom w:w="130" w:type="dxa"/>
              <w:right w:w="160" w:type="dxa"/>
            </w:tcMar>
          </w:tcPr>
          <w:p w14:paraId="43148D29" w14:textId="77777777" w:rsidR="003D7881" w:rsidRDefault="00000000" w:rsidP="00445CC5">
            <w:pPr>
              <w:spacing w:after="100"/>
              <w:jc w:val="both"/>
            </w:pPr>
            <w:r>
              <w:rPr>
                <w:rFonts w:cs="Arial"/>
                <w:b/>
                <w:bCs/>
                <w:caps/>
                <w:color w:val="1A5E3A"/>
                <w:sz w:val="17"/>
                <w:szCs w:val="17"/>
              </w:rPr>
              <w:lastRenderedPageBreak/>
              <w:t>Key Data</w:t>
            </w:r>
          </w:p>
          <w:p w14:paraId="06782FCC" w14:textId="31B9DA8D" w:rsidR="003D7881" w:rsidRDefault="00000000" w:rsidP="00445CC5">
            <w:pPr>
              <w:pStyle w:val="ListParagraph"/>
              <w:numPr>
                <w:ilvl w:val="0"/>
                <w:numId w:val="2"/>
              </w:numPr>
              <w:spacing w:after="80"/>
              <w:jc w:val="both"/>
            </w:pPr>
            <w:r>
              <w:rPr>
                <w:b/>
                <w:bCs/>
                <w:sz w:val="19"/>
                <w:szCs w:val="19"/>
              </w:rPr>
              <w:t xml:space="preserve">Total Land Deeds Processed: </w:t>
            </w:r>
            <w:r>
              <w:rPr>
                <w:sz w:val="19"/>
                <w:szCs w:val="19"/>
              </w:rPr>
              <w:t xml:space="preserve">~463,000 (vs ~745,000 prior year </w:t>
            </w:r>
            <w:r w:rsidR="00445CC5">
              <w:rPr>
                <w:sz w:val="19"/>
                <w:szCs w:val="19"/>
              </w:rPr>
              <w:t>-</w:t>
            </w:r>
            <w:r>
              <w:rPr>
                <w:sz w:val="19"/>
                <w:szCs w:val="19"/>
              </w:rPr>
              <w:t xml:space="preserve"> a ~38% decline)</w:t>
            </w:r>
          </w:p>
          <w:p w14:paraId="4BCE46AD" w14:textId="667C6805" w:rsidR="003D7881" w:rsidRDefault="00000000" w:rsidP="00445CC5">
            <w:pPr>
              <w:pStyle w:val="ListParagraph"/>
              <w:numPr>
                <w:ilvl w:val="0"/>
                <w:numId w:val="2"/>
              </w:numPr>
              <w:spacing w:after="80"/>
              <w:jc w:val="both"/>
            </w:pPr>
            <w:r>
              <w:rPr>
                <w:b/>
                <w:bCs/>
                <w:sz w:val="19"/>
                <w:szCs w:val="19"/>
              </w:rPr>
              <w:t xml:space="preserve">Land Plots Created (Kitta Kat): </w:t>
            </w:r>
            <w:r>
              <w:rPr>
                <w:b/>
                <w:bCs/>
                <w:color w:val="991B1B"/>
                <w:sz w:val="19"/>
                <w:szCs w:val="19"/>
              </w:rPr>
              <w:t>285,000</w:t>
            </w:r>
            <w:r>
              <w:rPr>
                <w:sz w:val="19"/>
                <w:szCs w:val="19"/>
              </w:rPr>
              <w:t xml:space="preserve"> (vs 1,612,000 </w:t>
            </w:r>
            <w:r w:rsidR="00445CC5">
              <w:rPr>
                <w:sz w:val="19"/>
                <w:szCs w:val="19"/>
              </w:rPr>
              <w:t>-</w:t>
            </w:r>
            <w:r>
              <w:rPr>
                <w:sz w:val="19"/>
                <w:szCs w:val="19"/>
              </w:rPr>
              <w:t xml:space="preserve"> an 82% collapse)</w:t>
            </w:r>
          </w:p>
          <w:p w14:paraId="437A4313" w14:textId="5F5B9802" w:rsidR="003D7881" w:rsidRDefault="00000000" w:rsidP="00445CC5">
            <w:pPr>
              <w:pStyle w:val="ListParagraph"/>
              <w:numPr>
                <w:ilvl w:val="0"/>
                <w:numId w:val="2"/>
              </w:numPr>
              <w:spacing w:after="80"/>
              <w:jc w:val="both"/>
            </w:pPr>
            <w:r>
              <w:rPr>
                <w:b/>
                <w:bCs/>
                <w:sz w:val="19"/>
                <w:szCs w:val="19"/>
              </w:rPr>
              <w:t xml:space="preserve">Government Revenue: </w:t>
            </w:r>
            <w:r>
              <w:rPr>
                <w:sz w:val="19"/>
                <w:szCs w:val="19"/>
              </w:rPr>
              <w:t xml:space="preserve">Rs. 41.15 </w:t>
            </w:r>
            <w:proofErr w:type="gramStart"/>
            <w:r>
              <w:rPr>
                <w:sz w:val="19"/>
                <w:szCs w:val="19"/>
              </w:rPr>
              <w:t>Billion</w:t>
            </w:r>
            <w:proofErr w:type="gramEnd"/>
            <w:r>
              <w:rPr>
                <w:sz w:val="19"/>
                <w:szCs w:val="19"/>
              </w:rPr>
              <w:t xml:space="preserve"> (vs Rs. 57.66B </w:t>
            </w:r>
            <w:r w:rsidR="00445CC5">
              <w:rPr>
                <w:sz w:val="19"/>
                <w:szCs w:val="19"/>
              </w:rPr>
              <w:t>-</w:t>
            </w:r>
            <w:r>
              <w:rPr>
                <w:sz w:val="19"/>
                <w:szCs w:val="19"/>
              </w:rPr>
              <w:t xml:space="preserve"> a 29% decline)</w:t>
            </w:r>
          </w:p>
          <w:p w14:paraId="446BFCC7" w14:textId="77777777" w:rsidR="003D7881" w:rsidRDefault="00000000" w:rsidP="00445CC5">
            <w:pPr>
              <w:pStyle w:val="ListParagraph"/>
              <w:numPr>
                <w:ilvl w:val="0"/>
                <w:numId w:val="2"/>
              </w:numPr>
              <w:spacing w:after="80"/>
              <w:jc w:val="both"/>
            </w:pPr>
            <w:r>
              <w:rPr>
                <w:b/>
                <w:bCs/>
                <w:sz w:val="19"/>
                <w:szCs w:val="19"/>
              </w:rPr>
              <w:t xml:space="preserve">Market Status: </w:t>
            </w:r>
            <w:r>
              <w:rPr>
                <w:sz w:val="19"/>
                <w:szCs w:val="19"/>
              </w:rPr>
              <w:t>Policy Contraction (Land Use Regulations)</w:t>
            </w:r>
          </w:p>
        </w:tc>
      </w:tr>
    </w:tbl>
    <w:p w14:paraId="4705E9F8" w14:textId="77777777" w:rsidR="003D7881" w:rsidRDefault="003D7881" w:rsidP="00445CC5">
      <w:pPr>
        <w:spacing w:after="140"/>
        <w:jc w:val="both"/>
      </w:pPr>
    </w:p>
    <w:p w14:paraId="48EDA93B" w14:textId="77777777" w:rsidR="003D7881" w:rsidRDefault="003D7881" w:rsidP="00445CC5">
      <w:pPr>
        <w:pBdr>
          <w:bottom w:val="single" w:sz="4" w:space="1" w:color="D6D0C8"/>
        </w:pBdr>
        <w:spacing w:before="240" w:after="240"/>
        <w:jc w:val="both"/>
      </w:pPr>
    </w:p>
    <w:p w14:paraId="608229FA" w14:textId="77777777" w:rsidR="003D7881" w:rsidRDefault="00000000" w:rsidP="00445CC5">
      <w:pPr>
        <w:pBdr>
          <w:left w:val="thick" w:sz="14" w:space="10" w:color="92400E"/>
        </w:pBdr>
        <w:spacing w:before="280" w:after="60"/>
        <w:ind w:left="220"/>
        <w:jc w:val="both"/>
      </w:pPr>
      <w:r>
        <w:rPr>
          <w:rFonts w:cs="Arial"/>
          <w:b/>
          <w:bCs/>
          <w:color w:val="555555"/>
          <w:sz w:val="18"/>
          <w:szCs w:val="18"/>
        </w:rPr>
        <w:t xml:space="preserve">2079–2081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2022–2024 AD</w:t>
      </w:r>
      <w:r>
        <w:rPr>
          <w:rFonts w:cs="Arial"/>
          <w:sz w:val="18"/>
          <w:szCs w:val="18"/>
        </w:rPr>
        <w:t xml:space="preserve">        </w:t>
      </w:r>
      <w:r>
        <w:rPr>
          <w:rFonts w:cs="Arial"/>
          <w:b/>
          <w:bCs/>
          <w:color w:val="92400E"/>
          <w:sz w:val="18"/>
          <w:szCs w:val="18"/>
        </w:rPr>
        <w:t>◆ FINANCIAL / BANKING</w:t>
      </w:r>
    </w:p>
    <w:p w14:paraId="7C914B16" w14:textId="4AA3DBD8" w:rsidR="003D7881" w:rsidRDefault="00000000" w:rsidP="00445CC5">
      <w:pPr>
        <w:pBdr>
          <w:left w:val="thick" w:sz="14" w:space="10" w:color="DDDDDD"/>
        </w:pBdr>
        <w:spacing w:before="60" w:after="160"/>
        <w:ind w:left="220"/>
        <w:jc w:val="both"/>
      </w:pPr>
      <w:r>
        <w:rPr>
          <w:rFonts w:cs="Arial"/>
          <w:b/>
          <w:bCs/>
          <w:sz w:val="26"/>
          <w:szCs w:val="26"/>
        </w:rPr>
        <w:t xml:space="preserve">NRB Macroprudential Tightening #1 </w:t>
      </w:r>
      <w:r w:rsidR="00445CC5">
        <w:rPr>
          <w:rFonts w:cs="Arial"/>
          <w:b/>
          <w:bCs/>
          <w:sz w:val="26"/>
          <w:szCs w:val="26"/>
        </w:rPr>
        <w:t>-</w:t>
      </w:r>
      <w:r>
        <w:rPr>
          <w:rFonts w:cs="Arial"/>
          <w:b/>
          <w:bCs/>
          <w:sz w:val="26"/>
          <w:szCs w:val="26"/>
        </w:rPr>
        <w:t xml:space="preserve"> DTI Capped at 70% &amp; LTV Heavily Restricted</w:t>
      </w:r>
    </w:p>
    <w:p w14:paraId="6CFA8114" w14:textId="77777777" w:rsidR="003D7881" w:rsidRDefault="00000000" w:rsidP="00445CC5">
      <w:pPr>
        <w:pBdr>
          <w:left w:val="thick" w:sz="6" w:space="10" w:color="EEEEEE"/>
        </w:pBdr>
        <w:spacing w:after="120"/>
        <w:ind w:left="220"/>
        <w:jc w:val="both"/>
      </w:pPr>
      <w:r>
        <w:rPr>
          <w:rFonts w:cs="Arial"/>
        </w:rPr>
        <w:t>To rapidly deleverage the banking sector and rein in speculative bubbles, the NRB introduced a highly restrictive suite of macroprudential policies:</w:t>
      </w:r>
      <w:hyperlink r:id="rId55" w:history="1">
        <w:r>
          <w:rPr>
            <w:rFonts w:cs="Arial"/>
            <w:color w:val="C4921A"/>
            <w:sz w:val="16"/>
            <w:szCs w:val="16"/>
            <w:u w:val="single" w:color="C4921A"/>
            <w:vertAlign w:val="superscript"/>
          </w:rPr>
          <w:t>[3]</w:t>
        </w:r>
      </w:hyperlink>
    </w:p>
    <w:p w14:paraId="6136C04B" w14:textId="77777777" w:rsidR="003D7881" w:rsidRDefault="00000000" w:rsidP="00445CC5">
      <w:pPr>
        <w:pStyle w:val="ListParagraph"/>
        <w:numPr>
          <w:ilvl w:val="0"/>
          <w:numId w:val="3"/>
        </w:numPr>
        <w:pBdr>
          <w:left w:val="thick" w:sz="6" w:space="10" w:color="EEEEEE"/>
        </w:pBdr>
        <w:spacing w:after="80"/>
        <w:jc w:val="both"/>
      </w:pPr>
      <w:r>
        <w:rPr>
          <w:b/>
          <w:bCs/>
        </w:rPr>
        <w:t xml:space="preserve">DTI Cap at 70%: </w:t>
      </w:r>
      <w:r>
        <w:t>Maximum Debt-to-Income ratio for loans granted specifically for the purchase or construction of residential houses and land</w:t>
      </w:r>
    </w:p>
    <w:p w14:paraId="0C7BE9F8" w14:textId="2AE0DFB7" w:rsidR="003D7881" w:rsidRDefault="00000000" w:rsidP="00445CC5">
      <w:pPr>
        <w:pStyle w:val="ListParagraph"/>
        <w:numPr>
          <w:ilvl w:val="0"/>
          <w:numId w:val="3"/>
        </w:numPr>
        <w:pBdr>
          <w:left w:val="thick" w:sz="6" w:space="10" w:color="EEEEEE"/>
        </w:pBdr>
        <w:spacing w:after="80"/>
        <w:jc w:val="both"/>
      </w:pPr>
      <w:r>
        <w:rPr>
          <w:b/>
          <w:bCs/>
        </w:rPr>
        <w:t xml:space="preserve">LTV Restriction: </w:t>
      </w:r>
      <w:r>
        <w:t xml:space="preserve">For personal loans with unspecified purposes (historically used as backdoor funding for speculative real estate), the Loan-to-Value ratio was heavily restricted </w:t>
      </w:r>
      <w:r w:rsidR="00445CC5">
        <w:t>-</w:t>
      </w:r>
      <w:r>
        <w:t xml:space="preserve"> recently adjusted from 40% to 50% to inject minor liquidity, but still requires buyers to hold massive amounts of upfront cash</w:t>
      </w:r>
    </w:p>
    <w:p w14:paraId="08CB9814"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290CC2A6" w14:textId="77777777">
        <w:tblPrEx>
          <w:tblCellMar>
            <w:top w:w="0" w:type="dxa"/>
            <w:bottom w:w="0" w:type="dxa"/>
          </w:tblCellMar>
        </w:tblPrEx>
        <w:tc>
          <w:tcPr>
            <w:tcW w:w="9000" w:type="dxa"/>
            <w:tcBorders>
              <w:top w:val="none" w:sz="0" w:space="0" w:color="FFFFFF"/>
              <w:left w:val="thick" w:sz="18" w:space="0" w:color="D4813A"/>
              <w:bottom w:val="none" w:sz="0" w:space="0" w:color="FFFFFF"/>
              <w:right w:val="none" w:sz="0" w:space="0" w:color="FFFFFF"/>
            </w:tcBorders>
            <w:shd w:val="clear" w:color="auto" w:fill="FFF8F0"/>
            <w:tcMar>
              <w:top w:w="130" w:type="dxa"/>
              <w:left w:w="220" w:type="dxa"/>
              <w:bottom w:w="130" w:type="dxa"/>
              <w:right w:w="160" w:type="dxa"/>
            </w:tcMar>
          </w:tcPr>
          <w:p w14:paraId="0595E799" w14:textId="77777777" w:rsidR="003D7881" w:rsidRDefault="00000000" w:rsidP="00445CC5">
            <w:pPr>
              <w:spacing w:after="100"/>
              <w:jc w:val="both"/>
            </w:pPr>
            <w:r>
              <w:rPr>
                <w:rFonts w:cs="Arial"/>
                <w:b/>
                <w:bCs/>
                <w:caps/>
                <w:color w:val="A0522D"/>
                <w:sz w:val="17"/>
                <w:szCs w:val="17"/>
              </w:rPr>
              <w:t>Impact</w:t>
            </w:r>
          </w:p>
          <w:p w14:paraId="62E29220" w14:textId="015C76F8" w:rsidR="003D7881" w:rsidRDefault="00000000" w:rsidP="00445CC5">
            <w:pPr>
              <w:spacing w:after="90"/>
              <w:jc w:val="both"/>
            </w:pPr>
            <w:r>
              <w:rPr>
                <w:rFonts w:cs="Arial"/>
                <w:sz w:val="19"/>
                <w:szCs w:val="19"/>
              </w:rPr>
              <w:t xml:space="preserve">Made financial leverage for real estate purchase </w:t>
            </w:r>
            <w:r>
              <w:rPr>
                <w:rFonts w:cs="Arial"/>
                <w:b/>
                <w:bCs/>
                <w:sz w:val="19"/>
                <w:szCs w:val="19"/>
              </w:rPr>
              <w:t>mathematically impossible</w:t>
            </w:r>
            <w:r>
              <w:rPr>
                <w:rFonts w:cs="Arial"/>
                <w:sz w:val="19"/>
                <w:szCs w:val="19"/>
              </w:rPr>
              <w:t xml:space="preserve"> for the average Nepalese citizen. Even buyers who found an eligible plot (bypassing the </w:t>
            </w:r>
            <w:proofErr w:type="spellStart"/>
            <w:r>
              <w:rPr>
                <w:rFonts w:cs="Arial"/>
                <w:sz w:val="19"/>
                <w:szCs w:val="19"/>
              </w:rPr>
              <w:t>kitta</w:t>
            </w:r>
            <w:proofErr w:type="spellEnd"/>
            <w:r>
              <w:rPr>
                <w:rFonts w:cs="Arial"/>
                <w:sz w:val="19"/>
                <w:szCs w:val="19"/>
              </w:rPr>
              <w:t xml:space="preserve"> kat ban) could not access mortgage capital at viable terms </w:t>
            </w:r>
            <w:r w:rsidR="00445CC5">
              <w:rPr>
                <w:rFonts w:cs="Arial"/>
                <w:sz w:val="19"/>
                <w:szCs w:val="19"/>
              </w:rPr>
              <w:t>-</w:t>
            </w:r>
            <w:r>
              <w:rPr>
                <w:rFonts w:cs="Arial"/>
                <w:sz w:val="19"/>
                <w:szCs w:val="19"/>
              </w:rPr>
              <w:t xml:space="preserve"> a massive demand-side shock amplifying the supply-side destruction.</w:t>
            </w:r>
          </w:p>
        </w:tc>
      </w:tr>
    </w:tbl>
    <w:p w14:paraId="699418CB" w14:textId="77777777" w:rsidR="003D7881" w:rsidRDefault="003D7881" w:rsidP="00445CC5">
      <w:pPr>
        <w:spacing w:after="8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317FCE50" w14:textId="77777777">
        <w:tblPrEx>
          <w:tblCellMar>
            <w:top w:w="0" w:type="dxa"/>
            <w:bottom w:w="0" w:type="dxa"/>
          </w:tblCellMar>
        </w:tblPrEx>
        <w:tc>
          <w:tcPr>
            <w:tcW w:w="9000" w:type="dxa"/>
            <w:tcBorders>
              <w:top w:val="none" w:sz="0" w:space="0" w:color="FFFFFF"/>
              <w:left w:val="thick" w:sz="18" w:space="0" w:color="CC2222"/>
              <w:bottom w:val="none" w:sz="0" w:space="0" w:color="FFFFFF"/>
              <w:right w:val="none" w:sz="0" w:space="0" w:color="FFFFFF"/>
            </w:tcBorders>
            <w:shd w:val="clear" w:color="auto" w:fill="FEF5F5"/>
            <w:tcMar>
              <w:top w:w="130" w:type="dxa"/>
              <w:left w:w="220" w:type="dxa"/>
              <w:bottom w:w="130" w:type="dxa"/>
              <w:right w:w="160" w:type="dxa"/>
            </w:tcMar>
          </w:tcPr>
          <w:p w14:paraId="71881051" w14:textId="77777777" w:rsidR="003D7881" w:rsidRDefault="00000000" w:rsidP="00445CC5">
            <w:pPr>
              <w:spacing w:after="100"/>
              <w:jc w:val="both"/>
            </w:pPr>
            <w:r>
              <w:rPr>
                <w:rFonts w:cs="Arial"/>
                <w:b/>
                <w:bCs/>
                <w:caps/>
                <w:color w:val="8B1A1A"/>
                <w:sz w:val="17"/>
                <w:szCs w:val="17"/>
              </w:rPr>
              <w:t>Analytical Verdict</w:t>
            </w:r>
          </w:p>
          <w:p w14:paraId="0BE6D4D6" w14:textId="3FED36EC" w:rsidR="003D7881" w:rsidRDefault="00000000" w:rsidP="00445CC5">
            <w:pPr>
              <w:spacing w:after="90"/>
              <w:jc w:val="both"/>
            </w:pPr>
            <w:r>
              <w:rPr>
                <w:rFonts w:cs="Arial"/>
                <w:b/>
                <w:bCs/>
                <w:sz w:val="19"/>
                <w:szCs w:val="19"/>
              </w:rPr>
              <w:t xml:space="preserve">Ranked #2 </w:t>
            </w:r>
            <w:r w:rsidR="00445CC5">
              <w:rPr>
                <w:rFonts w:cs="Arial"/>
                <w:b/>
                <w:bCs/>
                <w:sz w:val="19"/>
                <w:szCs w:val="19"/>
              </w:rPr>
              <w:t>-</w:t>
            </w:r>
            <w:r>
              <w:rPr>
                <w:rFonts w:cs="Arial"/>
                <w:b/>
                <w:bCs/>
                <w:sz w:val="19"/>
                <w:szCs w:val="19"/>
              </w:rPr>
              <w:t xml:space="preserve"> Secondary Causation. </w:t>
            </w:r>
            <w:r>
              <w:rPr>
                <w:rFonts w:cs="Arial"/>
                <w:sz w:val="19"/>
                <w:szCs w:val="19"/>
              </w:rPr>
              <w:t xml:space="preserve">Acting as a massive amplifier to the supply shock. The NRB's tightening made speculative real estate financing structurally impossible alongside the </w:t>
            </w:r>
            <w:proofErr w:type="spellStart"/>
            <w:r>
              <w:rPr>
                <w:rFonts w:cs="Arial"/>
                <w:sz w:val="19"/>
                <w:szCs w:val="19"/>
              </w:rPr>
              <w:t>kitta</w:t>
            </w:r>
            <w:proofErr w:type="spellEnd"/>
            <w:r>
              <w:rPr>
                <w:rFonts w:cs="Arial"/>
                <w:sz w:val="19"/>
                <w:szCs w:val="19"/>
              </w:rPr>
              <w:t xml:space="preserve"> kat ban.</w:t>
            </w:r>
            <w:hyperlink r:id="rId56" w:history="1">
              <w:r>
                <w:rPr>
                  <w:rFonts w:cs="Arial"/>
                  <w:color w:val="C4921A"/>
                  <w:sz w:val="16"/>
                  <w:szCs w:val="16"/>
                  <w:u w:val="single" w:color="C4921A"/>
                  <w:vertAlign w:val="superscript"/>
                </w:rPr>
                <w:t>[3]</w:t>
              </w:r>
            </w:hyperlink>
          </w:p>
        </w:tc>
      </w:tr>
    </w:tbl>
    <w:p w14:paraId="0F1AB23A" w14:textId="77777777" w:rsidR="003D7881" w:rsidRDefault="003D7881" w:rsidP="00445CC5">
      <w:pPr>
        <w:spacing w:after="140"/>
        <w:jc w:val="both"/>
      </w:pPr>
    </w:p>
    <w:p w14:paraId="0E340269" w14:textId="77777777" w:rsidR="003D7881" w:rsidRDefault="003D7881" w:rsidP="00445CC5">
      <w:pPr>
        <w:pBdr>
          <w:bottom w:val="single" w:sz="4" w:space="1" w:color="D6D0C8"/>
        </w:pBdr>
        <w:spacing w:before="240" w:after="240"/>
        <w:jc w:val="both"/>
      </w:pPr>
    </w:p>
    <w:p w14:paraId="7C4D377B" w14:textId="77777777" w:rsidR="003D7881" w:rsidRDefault="00000000" w:rsidP="00445CC5">
      <w:pPr>
        <w:pBdr>
          <w:left w:val="thick" w:sz="14" w:space="10" w:color="92400E"/>
        </w:pBdr>
        <w:spacing w:before="280" w:after="60"/>
        <w:ind w:left="220"/>
        <w:jc w:val="both"/>
      </w:pPr>
      <w:r>
        <w:rPr>
          <w:rFonts w:cs="Arial"/>
          <w:b/>
          <w:bCs/>
          <w:color w:val="555555"/>
          <w:sz w:val="18"/>
          <w:szCs w:val="18"/>
        </w:rPr>
        <w:t xml:space="preserve">2079–2081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2022–2024 AD</w:t>
      </w:r>
      <w:r>
        <w:rPr>
          <w:rFonts w:cs="Arial"/>
          <w:sz w:val="18"/>
          <w:szCs w:val="18"/>
        </w:rPr>
        <w:t xml:space="preserve">        </w:t>
      </w:r>
      <w:r>
        <w:rPr>
          <w:rFonts w:cs="Arial"/>
          <w:b/>
          <w:bCs/>
          <w:color w:val="92400E"/>
          <w:sz w:val="18"/>
          <w:szCs w:val="18"/>
        </w:rPr>
        <w:t>◆ FINANCIAL / BANKING</w:t>
      </w:r>
    </w:p>
    <w:p w14:paraId="39565282" w14:textId="3F616069" w:rsidR="003D7881" w:rsidRDefault="00000000" w:rsidP="00445CC5">
      <w:pPr>
        <w:pBdr>
          <w:left w:val="thick" w:sz="14" w:space="10" w:color="DDDDDD"/>
        </w:pBdr>
        <w:spacing w:before="60" w:after="160"/>
        <w:ind w:left="220"/>
        <w:jc w:val="both"/>
      </w:pPr>
      <w:r>
        <w:rPr>
          <w:rFonts w:cs="Arial"/>
          <w:b/>
          <w:bCs/>
          <w:sz w:val="26"/>
          <w:szCs w:val="26"/>
        </w:rPr>
        <w:t xml:space="preserve">NRB Macroprudential Tightening #2 </w:t>
      </w:r>
      <w:r w:rsidR="00445CC5">
        <w:rPr>
          <w:rFonts w:cs="Arial"/>
          <w:b/>
          <w:bCs/>
          <w:sz w:val="26"/>
          <w:szCs w:val="26"/>
        </w:rPr>
        <w:t>-</w:t>
      </w:r>
      <w:r>
        <w:rPr>
          <w:rFonts w:cs="Arial"/>
          <w:b/>
          <w:bCs/>
          <w:sz w:val="26"/>
          <w:szCs w:val="26"/>
        </w:rPr>
        <w:t xml:space="preserve"> Punitive Risk Weight Revisions Force Banks to Hold More Capital Against Real Estate Loans</w:t>
      </w:r>
    </w:p>
    <w:p w14:paraId="3FA82390" w14:textId="77777777" w:rsidR="003D7881" w:rsidRDefault="00000000" w:rsidP="00445CC5">
      <w:pPr>
        <w:pBdr>
          <w:left w:val="thick" w:sz="6" w:space="10" w:color="EEEEEE"/>
        </w:pBdr>
        <w:spacing w:after="120"/>
        <w:ind w:left="220"/>
        <w:jc w:val="both"/>
      </w:pPr>
      <w:r>
        <w:rPr>
          <w:rFonts w:cs="Arial"/>
        </w:rPr>
        <w:t xml:space="preserve">The NRB increased the </w:t>
      </w:r>
      <w:r>
        <w:rPr>
          <w:rFonts w:cs="Arial"/>
          <w:b/>
          <w:bCs/>
        </w:rPr>
        <w:t>risk weights</w:t>
      </w:r>
      <w:r>
        <w:rPr>
          <w:rFonts w:cs="Arial"/>
        </w:rPr>
        <w:t xml:space="preserve"> assigned to real estate loans, margin lending, and hire-purchase loans.</w:t>
      </w:r>
      <w:hyperlink r:id="rId57" w:history="1">
        <w:r>
          <w:rPr>
            <w:rFonts w:cs="Arial"/>
            <w:color w:val="C4921A"/>
            <w:sz w:val="16"/>
            <w:szCs w:val="16"/>
            <w:u w:val="single" w:color="C4921A"/>
            <w:vertAlign w:val="superscript"/>
          </w:rPr>
          <w:t>[3]</w:t>
        </w:r>
      </w:hyperlink>
      <w:r>
        <w:rPr>
          <w:rFonts w:cs="Arial"/>
        </w:rPr>
        <w:t xml:space="preserve"> This critical accounting change forced commercial banks to hold significantly more capital in reserve against their real estate exposures, making these loans </w:t>
      </w:r>
      <w:r>
        <w:rPr>
          <w:rFonts w:cs="Arial"/>
          <w:b/>
          <w:bCs/>
        </w:rPr>
        <w:t>inherently more expensive and less profitable</w:t>
      </w:r>
      <w:r>
        <w:rPr>
          <w:rFonts w:cs="Arial"/>
        </w:rPr>
        <w:t xml:space="preserve"> for banks to originate.</w:t>
      </w:r>
    </w:p>
    <w:p w14:paraId="30691917"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4D67FCB7" w14:textId="77777777">
        <w:tblPrEx>
          <w:tblCellMar>
            <w:top w:w="0" w:type="dxa"/>
            <w:bottom w:w="0" w:type="dxa"/>
          </w:tblCellMar>
        </w:tblPrEx>
        <w:tc>
          <w:tcPr>
            <w:tcW w:w="9000" w:type="dxa"/>
            <w:tcBorders>
              <w:top w:val="none" w:sz="0" w:space="0" w:color="FFFFFF"/>
              <w:left w:val="thick" w:sz="18" w:space="0" w:color="D4813A"/>
              <w:bottom w:val="none" w:sz="0" w:space="0" w:color="FFFFFF"/>
              <w:right w:val="none" w:sz="0" w:space="0" w:color="FFFFFF"/>
            </w:tcBorders>
            <w:shd w:val="clear" w:color="auto" w:fill="FFF8F0"/>
            <w:tcMar>
              <w:top w:w="130" w:type="dxa"/>
              <w:left w:w="220" w:type="dxa"/>
              <w:bottom w:w="130" w:type="dxa"/>
              <w:right w:w="160" w:type="dxa"/>
            </w:tcMar>
          </w:tcPr>
          <w:p w14:paraId="4AF44FA9" w14:textId="77777777" w:rsidR="003D7881" w:rsidRDefault="00000000" w:rsidP="00445CC5">
            <w:pPr>
              <w:spacing w:after="100"/>
              <w:jc w:val="both"/>
            </w:pPr>
            <w:r>
              <w:rPr>
                <w:rFonts w:cs="Arial"/>
                <w:b/>
                <w:bCs/>
                <w:caps/>
                <w:color w:val="A0522D"/>
                <w:sz w:val="17"/>
                <w:szCs w:val="17"/>
              </w:rPr>
              <w:t>Impact</w:t>
            </w:r>
          </w:p>
          <w:p w14:paraId="19A0EB1A" w14:textId="7B79E588" w:rsidR="003D7881" w:rsidRDefault="00000000" w:rsidP="00445CC5">
            <w:pPr>
              <w:spacing w:after="90"/>
              <w:jc w:val="both"/>
            </w:pPr>
            <w:r>
              <w:rPr>
                <w:rFonts w:cs="Arial"/>
                <w:sz w:val="19"/>
                <w:szCs w:val="19"/>
              </w:rPr>
              <w:t xml:space="preserve">Actively discouraged financial institutions from extending credit to property developers </w:t>
            </w:r>
            <w:r w:rsidR="00445CC5">
              <w:rPr>
                <w:rFonts w:cs="Arial"/>
                <w:sz w:val="19"/>
                <w:szCs w:val="19"/>
              </w:rPr>
              <w:t>-</w:t>
            </w:r>
            <w:r>
              <w:rPr>
                <w:rFonts w:cs="Arial"/>
                <w:sz w:val="19"/>
                <w:szCs w:val="19"/>
              </w:rPr>
              <w:t xml:space="preserve"> </w:t>
            </w:r>
            <w:r>
              <w:rPr>
                <w:rFonts w:cs="Arial"/>
                <w:b/>
                <w:bCs/>
                <w:sz w:val="19"/>
                <w:szCs w:val="19"/>
              </w:rPr>
              <w:t>starving the sector of institutional capital.</w:t>
            </w:r>
            <w:r>
              <w:rPr>
                <w:rFonts w:cs="Arial"/>
                <w:sz w:val="19"/>
                <w:szCs w:val="19"/>
              </w:rPr>
              <w:t xml:space="preserve"> Created a vicious cycle: higher risk weights → banks hold more capital </w:t>
            </w:r>
            <w:r>
              <w:rPr>
                <w:rFonts w:cs="Arial"/>
                <w:sz w:val="19"/>
                <w:szCs w:val="19"/>
              </w:rPr>
              <w:lastRenderedPageBreak/>
              <w:t>per loan → less willingness to lend → developers cut off from finance → reduced construction → reduced supply → deepened the housing crisis.</w:t>
            </w:r>
          </w:p>
        </w:tc>
      </w:tr>
    </w:tbl>
    <w:p w14:paraId="2956E222" w14:textId="77777777" w:rsidR="003D7881" w:rsidRDefault="003D7881" w:rsidP="00445CC5">
      <w:pPr>
        <w:spacing w:after="140"/>
        <w:jc w:val="both"/>
      </w:pPr>
    </w:p>
    <w:p w14:paraId="052DEA2D" w14:textId="77777777" w:rsidR="003D7881" w:rsidRDefault="003D7881" w:rsidP="00445CC5">
      <w:pPr>
        <w:pBdr>
          <w:bottom w:val="single" w:sz="4" w:space="1" w:color="D6D0C8"/>
        </w:pBdr>
        <w:spacing w:before="240" w:after="240"/>
        <w:jc w:val="both"/>
      </w:pPr>
    </w:p>
    <w:p w14:paraId="4D7D8030" w14:textId="77777777" w:rsidR="003D7881" w:rsidRDefault="00000000" w:rsidP="00445CC5">
      <w:pPr>
        <w:pBdr>
          <w:left w:val="thick" w:sz="14" w:space="10" w:color="92400E"/>
        </w:pBdr>
        <w:spacing w:before="280" w:after="60"/>
        <w:ind w:left="220"/>
        <w:jc w:val="both"/>
      </w:pPr>
      <w:r>
        <w:rPr>
          <w:rFonts w:cs="Arial"/>
          <w:b/>
          <w:bCs/>
          <w:color w:val="555555"/>
          <w:sz w:val="18"/>
          <w:szCs w:val="18"/>
        </w:rPr>
        <w:t xml:space="preserve">2079–2081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2022–2024 AD</w:t>
      </w:r>
      <w:r>
        <w:rPr>
          <w:rFonts w:cs="Arial"/>
          <w:sz w:val="18"/>
          <w:szCs w:val="18"/>
        </w:rPr>
        <w:t xml:space="preserve">        </w:t>
      </w:r>
      <w:r>
        <w:rPr>
          <w:rFonts w:cs="Arial"/>
          <w:b/>
          <w:bCs/>
          <w:color w:val="92400E"/>
          <w:sz w:val="18"/>
          <w:szCs w:val="18"/>
        </w:rPr>
        <w:t>◆ FINANCIAL / BANKING</w:t>
      </w:r>
    </w:p>
    <w:p w14:paraId="62AB81FC" w14:textId="3730D3AE" w:rsidR="003D7881" w:rsidRDefault="00000000" w:rsidP="00445CC5">
      <w:pPr>
        <w:pBdr>
          <w:left w:val="thick" w:sz="14" w:space="10" w:color="DDDDDD"/>
        </w:pBdr>
        <w:spacing w:before="60" w:after="160"/>
        <w:ind w:left="220"/>
        <w:jc w:val="both"/>
      </w:pPr>
      <w:r>
        <w:rPr>
          <w:rFonts w:cs="Arial"/>
          <w:b/>
          <w:bCs/>
          <w:sz w:val="26"/>
          <w:szCs w:val="26"/>
        </w:rPr>
        <w:t xml:space="preserve">NRB Macroprudential Tightening #3 </w:t>
      </w:r>
      <w:r w:rsidR="00445CC5">
        <w:rPr>
          <w:rFonts w:cs="Arial"/>
          <w:b/>
          <w:bCs/>
          <w:sz w:val="26"/>
          <w:szCs w:val="26"/>
        </w:rPr>
        <w:t>-</w:t>
      </w:r>
      <w:r>
        <w:rPr>
          <w:rFonts w:cs="Arial"/>
          <w:b/>
          <w:bCs/>
          <w:sz w:val="26"/>
          <w:szCs w:val="26"/>
        </w:rPr>
        <w:t xml:space="preserve"> Rigorous Source of Income Verification Locks Out Nepal's Informal Economy from Mortgage Access</w:t>
      </w:r>
    </w:p>
    <w:p w14:paraId="68A68480" w14:textId="0C49F63C" w:rsidR="003D7881" w:rsidRDefault="00000000" w:rsidP="00445CC5">
      <w:pPr>
        <w:pBdr>
          <w:left w:val="thick" w:sz="6" w:space="10" w:color="EEEEEE"/>
        </w:pBdr>
        <w:spacing w:after="120"/>
        <w:ind w:left="220"/>
        <w:jc w:val="both"/>
      </w:pPr>
      <w:r>
        <w:rPr>
          <w:rFonts w:cs="Arial"/>
        </w:rPr>
        <w:t xml:space="preserve">NRB supervisory directives required banks to strictly enforce </w:t>
      </w:r>
      <w:r>
        <w:rPr>
          <w:rFonts w:cs="Arial"/>
          <w:b/>
          <w:bCs/>
        </w:rPr>
        <w:t>verification of borrower income.</w:t>
      </w:r>
      <w:hyperlink r:id="rId58" w:history="1">
        <w:r>
          <w:rPr>
            <w:rFonts w:cs="Arial"/>
            <w:color w:val="C4921A"/>
            <w:sz w:val="16"/>
            <w:szCs w:val="16"/>
            <w:u w:val="single" w:color="C4921A"/>
            <w:vertAlign w:val="superscript"/>
          </w:rPr>
          <w:t>[3</w:t>
        </w:r>
        <w:r>
          <w:rPr>
            <w:rFonts w:cs="Arial"/>
            <w:color w:val="C4921A"/>
            <w:sz w:val="16"/>
            <w:szCs w:val="16"/>
            <w:u w:val="single" w:color="C4921A"/>
            <w:vertAlign w:val="superscript"/>
          </w:rPr>
          <w:t>6</w:t>
        </w:r>
        <w:r>
          <w:rPr>
            <w:rFonts w:cs="Arial"/>
            <w:color w:val="C4921A"/>
            <w:sz w:val="16"/>
            <w:szCs w:val="16"/>
            <w:u w:val="single" w:color="C4921A"/>
            <w:vertAlign w:val="superscript"/>
          </w:rPr>
          <w:t>]</w:t>
        </w:r>
      </w:hyperlink>
      <w:r>
        <w:rPr>
          <w:rFonts w:cs="Arial"/>
        </w:rPr>
        <w:t xml:space="preserve"> Previously, banks frequently relied on highly inflated, unverified self-declarations of income by borrowers to justify massive mortgages. The new regulatory demand required </w:t>
      </w:r>
      <w:r>
        <w:rPr>
          <w:rFonts w:cs="Arial"/>
          <w:i/>
          <w:iCs/>
        </w:rPr>
        <w:t>"valid documents substantiating the income"</w:t>
      </w:r>
      <w:r>
        <w:rPr>
          <w:rFonts w:cs="Arial"/>
        </w:rPr>
        <w:t xml:space="preserve"> </w:t>
      </w:r>
      <w:r w:rsidR="00445CC5">
        <w:rPr>
          <w:rFonts w:cs="Arial"/>
        </w:rPr>
        <w:t>-</w:t>
      </w:r>
      <w:r>
        <w:rPr>
          <w:rFonts w:cs="Arial"/>
        </w:rPr>
        <w:t xml:space="preserve"> such as verified tax returns and audited financial statements.</w:t>
      </w:r>
    </w:p>
    <w:p w14:paraId="5736082D"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502DA156" w14:textId="77777777">
        <w:tblPrEx>
          <w:tblCellMar>
            <w:top w:w="0" w:type="dxa"/>
            <w:bottom w:w="0" w:type="dxa"/>
          </w:tblCellMar>
        </w:tblPrEx>
        <w:tc>
          <w:tcPr>
            <w:tcW w:w="9000" w:type="dxa"/>
            <w:tcBorders>
              <w:top w:val="none" w:sz="0" w:space="0" w:color="FFFFFF"/>
              <w:left w:val="thick" w:sz="18" w:space="0" w:color="D4813A"/>
              <w:bottom w:val="none" w:sz="0" w:space="0" w:color="FFFFFF"/>
              <w:right w:val="none" w:sz="0" w:space="0" w:color="FFFFFF"/>
            </w:tcBorders>
            <w:shd w:val="clear" w:color="auto" w:fill="FFF8F0"/>
            <w:tcMar>
              <w:top w:w="130" w:type="dxa"/>
              <w:left w:w="220" w:type="dxa"/>
              <w:bottom w:w="130" w:type="dxa"/>
              <w:right w:w="160" w:type="dxa"/>
            </w:tcMar>
          </w:tcPr>
          <w:p w14:paraId="4EE492D8" w14:textId="77777777" w:rsidR="003D7881" w:rsidRDefault="00000000" w:rsidP="00445CC5">
            <w:pPr>
              <w:spacing w:after="100"/>
              <w:jc w:val="both"/>
            </w:pPr>
            <w:r>
              <w:rPr>
                <w:rFonts w:cs="Arial"/>
                <w:b/>
                <w:bCs/>
                <w:caps/>
                <w:color w:val="A0522D"/>
                <w:sz w:val="17"/>
                <w:szCs w:val="17"/>
              </w:rPr>
              <w:t>Impact</w:t>
            </w:r>
          </w:p>
          <w:p w14:paraId="31E242E9" w14:textId="77B4C228" w:rsidR="003D7881" w:rsidRDefault="00000000" w:rsidP="00445CC5">
            <w:pPr>
              <w:spacing w:after="90"/>
              <w:jc w:val="both"/>
            </w:pPr>
            <w:r>
              <w:rPr>
                <w:rFonts w:cs="Arial"/>
                <w:sz w:val="19"/>
                <w:szCs w:val="19"/>
              </w:rPr>
              <w:t xml:space="preserve">Severely restricted the borrowing capacity of individuals operating within Nepal's massive informal economy </w:t>
            </w:r>
            <w:r w:rsidR="00445CC5">
              <w:rPr>
                <w:rFonts w:cs="Arial"/>
                <w:sz w:val="19"/>
                <w:szCs w:val="19"/>
              </w:rPr>
              <w:t>-</w:t>
            </w:r>
            <w:r>
              <w:rPr>
                <w:rFonts w:cs="Arial"/>
                <w:sz w:val="19"/>
                <w:szCs w:val="19"/>
              </w:rPr>
              <w:t xml:space="preserve"> </w:t>
            </w:r>
            <w:r>
              <w:rPr>
                <w:rFonts w:cs="Arial"/>
                <w:b/>
                <w:bCs/>
                <w:sz w:val="19"/>
                <w:szCs w:val="19"/>
              </w:rPr>
              <w:t>instantaneously removing thousands of potential buyers from the demand pool.</w:t>
            </w:r>
            <w:r>
              <w:rPr>
                <w:rFonts w:cs="Arial"/>
                <w:sz w:val="19"/>
                <w:szCs w:val="19"/>
              </w:rPr>
              <w:t xml:space="preserve"> Many Nepalese workers earn through informal channels producing no verifiable documentation, effectively locking them out of the formal mortgage market entirely.</w:t>
            </w:r>
          </w:p>
        </w:tc>
      </w:tr>
    </w:tbl>
    <w:p w14:paraId="01933F08" w14:textId="77777777" w:rsidR="003D7881" w:rsidRDefault="003D7881" w:rsidP="00445CC5">
      <w:pPr>
        <w:spacing w:after="140"/>
        <w:jc w:val="both"/>
      </w:pPr>
    </w:p>
    <w:p w14:paraId="08E5C0C5" w14:textId="77777777" w:rsidR="003D7881" w:rsidRDefault="003D7881" w:rsidP="00445CC5">
      <w:pPr>
        <w:pBdr>
          <w:bottom w:val="single" w:sz="4" w:space="1" w:color="D6D0C8"/>
        </w:pBdr>
        <w:spacing w:before="240" w:after="240"/>
        <w:jc w:val="both"/>
      </w:pPr>
    </w:p>
    <w:p w14:paraId="7120F525" w14:textId="77777777" w:rsidR="003D7881" w:rsidRDefault="00000000" w:rsidP="00445CC5">
      <w:pPr>
        <w:pBdr>
          <w:left w:val="thick" w:sz="14" w:space="10" w:color="92400E"/>
        </w:pBdr>
        <w:spacing w:before="280" w:after="60"/>
        <w:ind w:left="220"/>
        <w:jc w:val="both"/>
      </w:pPr>
      <w:r>
        <w:rPr>
          <w:rFonts w:cs="Arial"/>
          <w:b/>
          <w:bCs/>
          <w:color w:val="555555"/>
          <w:sz w:val="18"/>
          <w:szCs w:val="18"/>
        </w:rPr>
        <w:t xml:space="preserve">Mid-2081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Mid-2024 AD</w:t>
      </w:r>
      <w:r>
        <w:rPr>
          <w:rFonts w:cs="Arial"/>
          <w:sz w:val="18"/>
          <w:szCs w:val="18"/>
        </w:rPr>
        <w:t xml:space="preserve">        </w:t>
      </w:r>
      <w:r>
        <w:rPr>
          <w:rFonts w:cs="Arial"/>
          <w:b/>
          <w:bCs/>
          <w:color w:val="92400E"/>
          <w:sz w:val="18"/>
          <w:szCs w:val="18"/>
        </w:rPr>
        <w:t>◆ FINANCIAL / BANKING</w:t>
      </w:r>
    </w:p>
    <w:p w14:paraId="18697EE6" w14:textId="6DC79A0C" w:rsidR="003D7881" w:rsidRDefault="00000000" w:rsidP="00445CC5">
      <w:pPr>
        <w:pBdr>
          <w:left w:val="thick" w:sz="14" w:space="10" w:color="DDDDDD"/>
        </w:pBdr>
        <w:spacing w:before="60" w:after="160"/>
        <w:ind w:left="220"/>
        <w:jc w:val="both"/>
      </w:pPr>
      <w:r>
        <w:rPr>
          <w:rFonts w:cs="Arial"/>
          <w:b/>
          <w:bCs/>
          <w:sz w:val="26"/>
          <w:szCs w:val="26"/>
        </w:rPr>
        <w:t xml:space="preserve">NRB Reveals: 89.98% of All Commercial Bank Loans Backed by Property Collateral </w:t>
      </w:r>
      <w:r w:rsidR="00445CC5">
        <w:rPr>
          <w:rFonts w:cs="Arial"/>
          <w:b/>
          <w:bCs/>
          <w:sz w:val="26"/>
          <w:szCs w:val="26"/>
        </w:rPr>
        <w:t>-</w:t>
      </w:r>
      <w:r>
        <w:rPr>
          <w:rFonts w:cs="Arial"/>
          <w:b/>
          <w:bCs/>
          <w:sz w:val="26"/>
          <w:szCs w:val="26"/>
        </w:rPr>
        <w:t xml:space="preserve"> Systemic Risk Exposed</w:t>
      </w:r>
    </w:p>
    <w:p w14:paraId="2235EF62" w14:textId="15FAEEA6" w:rsidR="003D7881" w:rsidRDefault="00000000" w:rsidP="00445CC5">
      <w:pPr>
        <w:pBdr>
          <w:left w:val="thick" w:sz="6" w:space="10" w:color="EEEEEE"/>
        </w:pBdr>
        <w:spacing w:after="120"/>
        <w:ind w:left="220"/>
        <w:jc w:val="both"/>
      </w:pPr>
      <w:r>
        <w:rPr>
          <w:rFonts w:cs="Arial"/>
        </w:rPr>
        <w:t xml:space="preserve">By mid-2024, NRB data revealed that a staggering </w:t>
      </w:r>
      <w:r>
        <w:rPr>
          <w:rFonts w:cs="Arial"/>
          <w:b/>
          <w:bCs/>
        </w:rPr>
        <w:t>89.98% of all total loans issued by commercial banks were backed by property collateral</w:t>
      </w:r>
      <w:r>
        <w:rPr>
          <w:rFonts w:cs="Arial"/>
        </w:rPr>
        <w:t xml:space="preserve"> </w:t>
      </w:r>
      <w:r w:rsidR="00445CC5">
        <w:rPr>
          <w:rFonts w:cs="Arial"/>
        </w:rPr>
        <w:t>-</w:t>
      </w:r>
      <w:r>
        <w:rPr>
          <w:rFonts w:cs="Arial"/>
        </w:rPr>
        <w:t xml:space="preserve"> exposing extreme systemic concentration risk in Nepal's banking sector.</w:t>
      </w:r>
      <w:hyperlink r:id="rId59" w:history="1">
        <w:r>
          <w:rPr>
            <w:rFonts w:cs="Arial"/>
            <w:color w:val="C4921A"/>
            <w:sz w:val="16"/>
            <w:szCs w:val="16"/>
            <w:u w:val="single" w:color="C4921A"/>
            <w:vertAlign w:val="superscript"/>
          </w:rPr>
          <w:t>[35]</w:t>
        </w:r>
      </w:hyperlink>
    </w:p>
    <w:p w14:paraId="0A2D546D" w14:textId="23329A40" w:rsidR="003D7881" w:rsidRDefault="00000000" w:rsidP="00445CC5">
      <w:pPr>
        <w:pBdr>
          <w:left w:val="thick" w:sz="6" w:space="10" w:color="EEEEEE"/>
        </w:pBdr>
        <w:spacing w:after="120"/>
        <w:ind w:left="220"/>
        <w:jc w:val="both"/>
      </w:pPr>
      <w:r>
        <w:rPr>
          <w:rFonts w:cs="Arial"/>
        </w:rPr>
        <w:t xml:space="preserve">Despite the transaction freeze and tighter LTV/DTI caps, real estate loan portfolios continued to grow aggressively. Per the NRB's own analytical reports: </w:t>
      </w:r>
      <w:r>
        <w:rPr>
          <w:rFonts w:cs="Arial"/>
          <w:i/>
          <w:iCs/>
        </w:rPr>
        <w:t>"lack of direct linkage to market activity suggests that loan disbursements reflect long-term structural shifts in financing practices rather than immediate demand spikes."</w:t>
      </w:r>
      <w:hyperlink r:id="rId60" w:history="1">
        <w:r>
          <w:rPr>
            <w:rFonts w:cs="Arial"/>
            <w:color w:val="C4921A"/>
            <w:sz w:val="16"/>
            <w:szCs w:val="16"/>
            <w:u w:val="single" w:color="C4921A"/>
            <w:vertAlign w:val="superscript"/>
          </w:rPr>
          <w:t>[59]</w:t>
        </w:r>
      </w:hyperlink>
      <w:r>
        <w:rPr>
          <w:rFonts w:cs="Arial"/>
        </w:rPr>
        <w:t xml:space="preserve"> This implies property owners leveraging illiquid real estate assets to generate working capital to survive the broader economic downturn </w:t>
      </w:r>
      <w:r w:rsidR="00445CC5">
        <w:rPr>
          <w:rFonts w:cs="Arial"/>
        </w:rPr>
        <w:t>-</w:t>
      </w:r>
      <w:r>
        <w:rPr>
          <w:rFonts w:cs="Arial"/>
        </w:rPr>
        <w:t xml:space="preserve"> not healthy new acquisition activity.</w:t>
      </w:r>
    </w:p>
    <w:p w14:paraId="080C9A90"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26658EC1" w14:textId="77777777">
        <w:tblPrEx>
          <w:tblCellMar>
            <w:top w:w="0" w:type="dxa"/>
            <w:bottom w:w="0" w:type="dxa"/>
          </w:tblCellMar>
        </w:tblPrEx>
        <w:tc>
          <w:tcPr>
            <w:tcW w:w="9000" w:type="dxa"/>
            <w:tcBorders>
              <w:top w:val="none" w:sz="0" w:space="0" w:color="FFFFFF"/>
              <w:left w:val="thick" w:sz="18" w:space="0" w:color="2E8B57"/>
              <w:bottom w:val="none" w:sz="0" w:space="0" w:color="FFFFFF"/>
              <w:right w:val="none" w:sz="0" w:space="0" w:color="FFFFFF"/>
            </w:tcBorders>
            <w:shd w:val="clear" w:color="auto" w:fill="F0FAF4"/>
            <w:tcMar>
              <w:top w:w="130" w:type="dxa"/>
              <w:left w:w="220" w:type="dxa"/>
              <w:bottom w:w="130" w:type="dxa"/>
              <w:right w:w="160" w:type="dxa"/>
            </w:tcMar>
          </w:tcPr>
          <w:p w14:paraId="66924C4B" w14:textId="77777777" w:rsidR="003D7881" w:rsidRDefault="00000000" w:rsidP="00445CC5">
            <w:pPr>
              <w:spacing w:after="100"/>
              <w:jc w:val="both"/>
            </w:pPr>
            <w:r>
              <w:rPr>
                <w:rFonts w:cs="Arial"/>
                <w:b/>
                <w:bCs/>
                <w:caps/>
                <w:color w:val="1A5E3A"/>
                <w:sz w:val="17"/>
                <w:szCs w:val="17"/>
              </w:rPr>
              <w:t>Key Data</w:t>
            </w:r>
          </w:p>
          <w:p w14:paraId="1585CC1D" w14:textId="77777777" w:rsidR="003D7881" w:rsidRDefault="00000000" w:rsidP="00445CC5">
            <w:pPr>
              <w:pStyle w:val="ListParagraph"/>
              <w:numPr>
                <w:ilvl w:val="0"/>
                <w:numId w:val="2"/>
              </w:numPr>
              <w:spacing w:after="80"/>
              <w:jc w:val="both"/>
            </w:pPr>
            <w:r>
              <w:rPr>
                <w:b/>
                <w:bCs/>
                <w:sz w:val="19"/>
                <w:szCs w:val="19"/>
              </w:rPr>
              <w:t>89.98%</w:t>
            </w:r>
            <w:r>
              <w:rPr>
                <w:sz w:val="19"/>
                <w:szCs w:val="19"/>
              </w:rPr>
              <w:t xml:space="preserve"> of all commercial bank loans backed by property collateral (mid-2024)</w:t>
            </w:r>
            <w:hyperlink r:id="rId61" w:history="1">
              <w:r>
                <w:rPr>
                  <w:color w:val="C4921A"/>
                  <w:sz w:val="16"/>
                  <w:szCs w:val="16"/>
                  <w:u w:val="single" w:color="C4921A"/>
                  <w:vertAlign w:val="superscript"/>
                </w:rPr>
                <w:t>[35]</w:t>
              </w:r>
            </w:hyperlink>
          </w:p>
          <w:p w14:paraId="48F43978" w14:textId="77777777" w:rsidR="003D7881" w:rsidRDefault="00000000" w:rsidP="00445CC5">
            <w:pPr>
              <w:pStyle w:val="ListParagraph"/>
              <w:numPr>
                <w:ilvl w:val="0"/>
                <w:numId w:val="2"/>
              </w:numPr>
              <w:spacing w:after="80"/>
              <w:jc w:val="both"/>
            </w:pPr>
            <w:r>
              <w:rPr>
                <w:b/>
                <w:bCs/>
                <w:sz w:val="19"/>
                <w:szCs w:val="19"/>
              </w:rPr>
              <w:t>Real Estate Loans: +72.41% growth</w:t>
            </w:r>
            <w:r>
              <w:rPr>
                <w:sz w:val="19"/>
                <w:szCs w:val="19"/>
              </w:rPr>
              <w:t xml:space="preserve"> → Rs. 275.96 </w:t>
            </w:r>
            <w:proofErr w:type="gramStart"/>
            <w:r>
              <w:rPr>
                <w:sz w:val="19"/>
                <w:szCs w:val="19"/>
              </w:rPr>
              <w:t>Billion</w:t>
            </w:r>
            <w:proofErr w:type="gramEnd"/>
            <w:r>
              <w:rPr>
                <w:sz w:val="19"/>
                <w:szCs w:val="19"/>
              </w:rPr>
              <w:t xml:space="preserve"> outstanding</w:t>
            </w:r>
            <w:hyperlink r:id="rId62" w:history="1">
              <w:r>
                <w:rPr>
                  <w:color w:val="C4921A"/>
                  <w:sz w:val="16"/>
                  <w:szCs w:val="16"/>
                  <w:u w:val="single" w:color="C4921A"/>
                  <w:vertAlign w:val="superscript"/>
                </w:rPr>
                <w:t>[59]</w:t>
              </w:r>
            </w:hyperlink>
          </w:p>
          <w:p w14:paraId="5C4D8EA1" w14:textId="77777777" w:rsidR="003D7881" w:rsidRDefault="00000000" w:rsidP="00445CC5">
            <w:pPr>
              <w:pStyle w:val="ListParagraph"/>
              <w:numPr>
                <w:ilvl w:val="0"/>
                <w:numId w:val="2"/>
              </w:numPr>
              <w:spacing w:after="80"/>
              <w:jc w:val="both"/>
            </w:pPr>
            <w:r>
              <w:rPr>
                <w:b/>
                <w:bCs/>
                <w:sz w:val="19"/>
                <w:szCs w:val="19"/>
              </w:rPr>
              <w:t>Residential Housing Loans: +61.55% growth</w:t>
            </w:r>
            <w:r>
              <w:rPr>
                <w:sz w:val="19"/>
                <w:szCs w:val="19"/>
              </w:rPr>
              <w:t xml:space="preserve"> → Rs. 417.61 </w:t>
            </w:r>
            <w:proofErr w:type="gramStart"/>
            <w:r>
              <w:rPr>
                <w:sz w:val="19"/>
                <w:szCs w:val="19"/>
              </w:rPr>
              <w:t>Billion</w:t>
            </w:r>
            <w:proofErr w:type="gramEnd"/>
            <w:r>
              <w:rPr>
                <w:sz w:val="19"/>
                <w:szCs w:val="19"/>
              </w:rPr>
              <w:t xml:space="preserve"> outstanding</w:t>
            </w:r>
            <w:hyperlink r:id="rId63" w:history="1">
              <w:r>
                <w:rPr>
                  <w:color w:val="C4921A"/>
                  <w:sz w:val="16"/>
                  <w:szCs w:val="16"/>
                  <w:u w:val="single" w:color="C4921A"/>
                  <w:vertAlign w:val="superscript"/>
                </w:rPr>
                <w:t>[59]</w:t>
              </w:r>
            </w:hyperlink>
          </w:p>
        </w:tc>
      </w:tr>
    </w:tbl>
    <w:p w14:paraId="21225AE8" w14:textId="77777777" w:rsidR="003D7881" w:rsidRDefault="003D7881" w:rsidP="00445CC5">
      <w:pPr>
        <w:spacing w:after="8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5F9F4487" w14:textId="77777777">
        <w:tblPrEx>
          <w:tblCellMar>
            <w:top w:w="0" w:type="dxa"/>
            <w:bottom w:w="0" w:type="dxa"/>
          </w:tblCellMar>
        </w:tblPrEx>
        <w:tc>
          <w:tcPr>
            <w:tcW w:w="9000" w:type="dxa"/>
            <w:tcBorders>
              <w:top w:val="none" w:sz="0" w:space="0" w:color="FFFFFF"/>
              <w:left w:val="thick" w:sz="18" w:space="0" w:color="D4813A"/>
              <w:bottom w:val="none" w:sz="0" w:space="0" w:color="FFFFFF"/>
              <w:right w:val="none" w:sz="0" w:space="0" w:color="FFFFFF"/>
            </w:tcBorders>
            <w:shd w:val="clear" w:color="auto" w:fill="FFF8F0"/>
            <w:tcMar>
              <w:top w:w="130" w:type="dxa"/>
              <w:left w:w="220" w:type="dxa"/>
              <w:bottom w:w="130" w:type="dxa"/>
              <w:right w:w="160" w:type="dxa"/>
            </w:tcMar>
          </w:tcPr>
          <w:p w14:paraId="3E063320" w14:textId="77777777" w:rsidR="003D7881" w:rsidRDefault="00000000" w:rsidP="00445CC5">
            <w:pPr>
              <w:spacing w:after="100"/>
              <w:jc w:val="both"/>
            </w:pPr>
            <w:r>
              <w:rPr>
                <w:rFonts w:cs="Arial"/>
                <w:b/>
                <w:bCs/>
                <w:caps/>
                <w:color w:val="A0522D"/>
                <w:sz w:val="17"/>
                <w:szCs w:val="17"/>
              </w:rPr>
              <w:t>Impact</w:t>
            </w:r>
          </w:p>
          <w:p w14:paraId="0EE418FC" w14:textId="286ABD8F" w:rsidR="003D7881" w:rsidRDefault="00000000" w:rsidP="00445CC5">
            <w:pPr>
              <w:spacing w:after="90"/>
              <w:jc w:val="both"/>
            </w:pPr>
            <w:r>
              <w:rPr>
                <w:rFonts w:cs="Arial"/>
                <w:b/>
                <w:bCs/>
                <w:sz w:val="19"/>
                <w:szCs w:val="19"/>
              </w:rPr>
              <w:t>Revealed extreme fragility of Nepal's banking sector.</w:t>
            </w:r>
            <w:r>
              <w:rPr>
                <w:rFonts w:cs="Arial"/>
                <w:sz w:val="19"/>
                <w:szCs w:val="19"/>
              </w:rPr>
              <w:t xml:space="preserve"> Loan growth masked deeper structural stress rather than healthy new acquisition. A significant property price correction could trigger cascading bank failures across the system </w:t>
            </w:r>
            <w:r w:rsidR="00445CC5">
              <w:rPr>
                <w:rFonts w:cs="Arial"/>
                <w:sz w:val="19"/>
                <w:szCs w:val="19"/>
              </w:rPr>
              <w:t>-</w:t>
            </w:r>
            <w:r>
              <w:rPr>
                <w:rFonts w:cs="Arial"/>
                <w:sz w:val="19"/>
                <w:szCs w:val="19"/>
              </w:rPr>
              <w:t xml:space="preserve"> forcing the NRB to accelerate macroprudential interventions.</w:t>
            </w:r>
          </w:p>
        </w:tc>
      </w:tr>
    </w:tbl>
    <w:p w14:paraId="7C14C5BB" w14:textId="77777777" w:rsidR="003D7881" w:rsidRDefault="003D7881" w:rsidP="00445CC5">
      <w:pPr>
        <w:spacing w:after="140"/>
        <w:jc w:val="both"/>
      </w:pPr>
    </w:p>
    <w:p w14:paraId="43F29D35" w14:textId="77777777" w:rsidR="003D7881" w:rsidRDefault="003D7881" w:rsidP="00445CC5">
      <w:pPr>
        <w:pBdr>
          <w:bottom w:val="single" w:sz="4" w:space="1" w:color="D6D0C8"/>
        </w:pBdr>
        <w:spacing w:before="240" w:after="240"/>
        <w:jc w:val="both"/>
      </w:pPr>
    </w:p>
    <w:p w14:paraId="4D85C0E9" w14:textId="77777777" w:rsidR="003D7881" w:rsidRDefault="00000000" w:rsidP="00445CC5">
      <w:pPr>
        <w:pBdr>
          <w:left w:val="thick" w:sz="14" w:space="10" w:color="854D0E"/>
        </w:pBdr>
        <w:spacing w:before="280" w:after="60"/>
        <w:ind w:left="220"/>
        <w:jc w:val="both"/>
      </w:pPr>
      <w:r>
        <w:rPr>
          <w:rFonts w:cs="Arial"/>
          <w:b/>
          <w:bCs/>
          <w:color w:val="555555"/>
          <w:sz w:val="18"/>
          <w:szCs w:val="18"/>
        </w:rPr>
        <w:t xml:space="preserve">Ongoing Throughout </w:t>
      </w:r>
      <w:proofErr w:type="gramStart"/>
      <w:r>
        <w:rPr>
          <w:rFonts w:cs="Arial"/>
          <w:b/>
          <w:bCs/>
          <w:color w:val="555555"/>
          <w:sz w:val="18"/>
          <w:szCs w:val="18"/>
        </w:rPr>
        <w:t>Decade</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2014–2025 AD</w:t>
      </w:r>
      <w:r>
        <w:rPr>
          <w:rFonts w:cs="Arial"/>
          <w:sz w:val="18"/>
          <w:szCs w:val="18"/>
        </w:rPr>
        <w:t xml:space="preserve">        </w:t>
      </w:r>
      <w:r>
        <w:rPr>
          <w:rFonts w:cs="Arial"/>
          <w:b/>
          <w:bCs/>
          <w:color w:val="854D0E"/>
          <w:sz w:val="18"/>
          <w:szCs w:val="18"/>
        </w:rPr>
        <w:t>◆ TAXATION</w:t>
      </w:r>
    </w:p>
    <w:p w14:paraId="1F468F80" w14:textId="77777777" w:rsidR="003D7881" w:rsidRDefault="00000000" w:rsidP="00445CC5">
      <w:pPr>
        <w:pBdr>
          <w:left w:val="thick" w:sz="14" w:space="10" w:color="DDDDDD"/>
        </w:pBdr>
        <w:spacing w:before="60" w:after="160"/>
        <w:ind w:left="220"/>
        <w:jc w:val="both"/>
      </w:pPr>
      <w:r>
        <w:rPr>
          <w:rFonts w:cs="Arial"/>
          <w:b/>
          <w:bCs/>
          <w:sz w:val="26"/>
          <w:szCs w:val="26"/>
        </w:rPr>
        <w:t>Punitive Capital Gains Tax &amp; High Registration Fees Create Massive Transaction Friction and Incentivize Value Underreporting</w:t>
      </w:r>
    </w:p>
    <w:p w14:paraId="70FBE7B5" w14:textId="77777777" w:rsidR="003D7881" w:rsidRDefault="00000000" w:rsidP="00445CC5">
      <w:pPr>
        <w:pBdr>
          <w:left w:val="thick" w:sz="6" w:space="10" w:color="EEEEEE"/>
        </w:pBdr>
        <w:spacing w:after="120"/>
        <w:ind w:left="220"/>
        <w:jc w:val="both"/>
      </w:pPr>
      <w:r>
        <w:rPr>
          <w:rFonts w:cs="Arial"/>
        </w:rPr>
        <w:t xml:space="preserve">The federal government maintained a rigid </w:t>
      </w:r>
      <w:r>
        <w:rPr>
          <w:rFonts w:cs="Arial"/>
          <w:b/>
          <w:bCs/>
        </w:rPr>
        <w:t>Capital Gains Tax (CGT) structure</w:t>
      </w:r>
      <w:r>
        <w:rPr>
          <w:rFonts w:cs="Arial"/>
        </w:rPr>
        <w:t xml:space="preserve"> specifically designed to </w:t>
      </w:r>
      <w:proofErr w:type="spellStart"/>
      <w:r>
        <w:rPr>
          <w:rFonts w:cs="Arial"/>
        </w:rPr>
        <w:t>penalise</w:t>
      </w:r>
      <w:proofErr w:type="spellEnd"/>
      <w:r>
        <w:rPr>
          <w:rFonts w:cs="Arial"/>
        </w:rPr>
        <w:t xml:space="preserve"> short-term speculation:</w:t>
      </w:r>
      <w:hyperlink r:id="rId64" w:history="1">
        <w:r>
          <w:rPr>
            <w:rFonts w:cs="Arial"/>
            <w:color w:val="C4921A"/>
            <w:sz w:val="16"/>
            <w:szCs w:val="16"/>
            <w:u w:val="single" w:color="C4921A"/>
            <w:vertAlign w:val="superscript"/>
          </w:rPr>
          <w:t>[40]</w:t>
        </w:r>
      </w:hyperlink>
    </w:p>
    <w:p w14:paraId="0AF4EC2A" w14:textId="77777777" w:rsidR="003D7881" w:rsidRDefault="00000000" w:rsidP="00445CC5">
      <w:pPr>
        <w:pStyle w:val="ListParagraph"/>
        <w:numPr>
          <w:ilvl w:val="0"/>
          <w:numId w:val="3"/>
        </w:numPr>
        <w:pBdr>
          <w:left w:val="thick" w:sz="6" w:space="10" w:color="EEEEEE"/>
        </w:pBdr>
        <w:spacing w:after="80"/>
        <w:jc w:val="both"/>
      </w:pPr>
      <w:r>
        <w:rPr>
          <w:b/>
          <w:bCs/>
        </w:rPr>
        <w:t>5% CGT</w:t>
      </w:r>
      <w:r>
        <w:t xml:space="preserve"> on profit from properties held for </w:t>
      </w:r>
      <w:r>
        <w:rPr>
          <w:b/>
          <w:bCs/>
        </w:rPr>
        <w:t>less than 5 years</w:t>
      </w:r>
    </w:p>
    <w:p w14:paraId="7114BFD3" w14:textId="77777777" w:rsidR="003D7881" w:rsidRDefault="00000000" w:rsidP="00445CC5">
      <w:pPr>
        <w:pStyle w:val="ListParagraph"/>
        <w:numPr>
          <w:ilvl w:val="0"/>
          <w:numId w:val="3"/>
        </w:numPr>
        <w:pBdr>
          <w:left w:val="thick" w:sz="6" w:space="10" w:color="EEEEEE"/>
        </w:pBdr>
        <w:spacing w:after="80"/>
        <w:jc w:val="both"/>
      </w:pPr>
      <w:r>
        <w:rPr>
          <w:b/>
          <w:bCs/>
        </w:rPr>
        <w:t>2.5% CGT</w:t>
      </w:r>
      <w:r>
        <w:t xml:space="preserve"> on profit from properties held for </w:t>
      </w:r>
      <w:r>
        <w:rPr>
          <w:b/>
          <w:bCs/>
        </w:rPr>
        <w:t>more than 5 years</w:t>
      </w:r>
    </w:p>
    <w:p w14:paraId="4410072D" w14:textId="09271BFA" w:rsidR="003D7881" w:rsidRDefault="00000000" w:rsidP="00445CC5">
      <w:pPr>
        <w:pBdr>
          <w:left w:val="thick" w:sz="6" w:space="10" w:color="EEEEEE"/>
        </w:pBdr>
        <w:spacing w:after="120"/>
        <w:ind w:left="220"/>
        <w:jc w:val="both"/>
      </w:pPr>
      <w:r>
        <w:rPr>
          <w:rFonts w:cs="Arial"/>
        </w:rPr>
        <w:t xml:space="preserve">Provincial governments </w:t>
      </w:r>
      <w:r w:rsidR="00445CC5">
        <w:rPr>
          <w:rFonts w:cs="Arial"/>
        </w:rPr>
        <w:t>-</w:t>
      </w:r>
      <w:r>
        <w:rPr>
          <w:rFonts w:cs="Arial"/>
        </w:rPr>
        <w:t xml:space="preserve"> heavily reliant on real estate registration fees as their primary revenue </w:t>
      </w:r>
      <w:r w:rsidR="00445CC5">
        <w:rPr>
          <w:rFonts w:cs="Arial"/>
        </w:rPr>
        <w:t>-</w:t>
      </w:r>
      <w:r>
        <w:rPr>
          <w:rFonts w:cs="Arial"/>
        </w:rPr>
        <w:t xml:space="preserve"> largely </w:t>
      </w:r>
      <w:r>
        <w:rPr>
          <w:rFonts w:cs="Arial"/>
          <w:b/>
          <w:bCs/>
        </w:rPr>
        <w:t>refused to lower transaction costs</w:t>
      </w:r>
      <w:r>
        <w:rPr>
          <w:rFonts w:cs="Arial"/>
        </w:rPr>
        <w:t xml:space="preserve"> even as the market crashed.</w:t>
      </w:r>
      <w:hyperlink r:id="rId65" w:history="1">
        <w:r>
          <w:rPr>
            <w:rFonts w:cs="Arial"/>
            <w:color w:val="C4921A"/>
            <w:sz w:val="16"/>
            <w:szCs w:val="16"/>
            <w:u w:val="single" w:color="C4921A"/>
            <w:vertAlign w:val="superscript"/>
          </w:rPr>
          <w:t>[41]</w:t>
        </w:r>
      </w:hyperlink>
      <w:r>
        <w:rPr>
          <w:rFonts w:cs="Arial"/>
        </w:rPr>
        <w:t xml:space="preserve"> In Bagmati Province </w:t>
      </w:r>
      <w:r w:rsidR="00445CC5">
        <w:rPr>
          <w:rFonts w:cs="Arial"/>
        </w:rPr>
        <w:t>-</w:t>
      </w:r>
      <w:r>
        <w:rPr>
          <w:rFonts w:cs="Arial"/>
        </w:rPr>
        <w:t xml:space="preserve"> encompassing the highest-value real estate in Nepal </w:t>
      </w:r>
      <w:r w:rsidR="00445CC5">
        <w:rPr>
          <w:rFonts w:cs="Arial"/>
        </w:rPr>
        <w:t>-</w:t>
      </w:r>
      <w:r>
        <w:rPr>
          <w:rFonts w:cs="Arial"/>
        </w:rPr>
        <w:t xml:space="preserve"> steep, punitive ad-valorem registration fees applied:</w:t>
      </w:r>
      <w:hyperlink r:id="rId66" w:history="1">
        <w:r>
          <w:rPr>
            <w:rFonts w:cs="Arial"/>
            <w:color w:val="C4921A"/>
            <w:sz w:val="16"/>
            <w:szCs w:val="16"/>
            <w:u w:val="single" w:color="C4921A"/>
            <w:vertAlign w:val="superscript"/>
          </w:rPr>
          <w:t>[43]</w:t>
        </w:r>
      </w:hyperlink>
    </w:p>
    <w:p w14:paraId="35F0170D" w14:textId="77777777" w:rsidR="003D7881" w:rsidRDefault="00000000" w:rsidP="00445CC5">
      <w:pPr>
        <w:pStyle w:val="ListParagraph"/>
        <w:numPr>
          <w:ilvl w:val="0"/>
          <w:numId w:val="3"/>
        </w:numPr>
        <w:pBdr>
          <w:left w:val="thick" w:sz="6" w:space="10" w:color="EEEEEE"/>
        </w:pBdr>
        <w:spacing w:after="80"/>
        <w:jc w:val="both"/>
      </w:pPr>
      <w:r>
        <w:rPr>
          <w:b/>
          <w:bCs/>
        </w:rPr>
        <w:t>5%</w:t>
      </w:r>
      <w:r>
        <w:t xml:space="preserve"> of total transaction amount in Metropolitan areas</w:t>
      </w:r>
    </w:p>
    <w:p w14:paraId="56B10F0F" w14:textId="77777777" w:rsidR="003D7881" w:rsidRDefault="00000000" w:rsidP="00445CC5">
      <w:pPr>
        <w:pStyle w:val="ListParagraph"/>
        <w:numPr>
          <w:ilvl w:val="0"/>
          <w:numId w:val="3"/>
        </w:numPr>
        <w:pBdr>
          <w:left w:val="thick" w:sz="6" w:space="10" w:color="EEEEEE"/>
        </w:pBdr>
        <w:spacing w:after="80"/>
        <w:jc w:val="both"/>
      </w:pPr>
      <w:r>
        <w:rPr>
          <w:b/>
          <w:bCs/>
        </w:rPr>
        <w:t>4.5%</w:t>
      </w:r>
      <w:r>
        <w:t xml:space="preserve"> in Sub-Metropolitan areas</w:t>
      </w:r>
    </w:p>
    <w:p w14:paraId="619B9B46" w14:textId="77777777" w:rsidR="003D7881" w:rsidRDefault="00000000" w:rsidP="00445CC5">
      <w:pPr>
        <w:pStyle w:val="ListParagraph"/>
        <w:numPr>
          <w:ilvl w:val="0"/>
          <w:numId w:val="3"/>
        </w:numPr>
        <w:pBdr>
          <w:left w:val="thick" w:sz="6" w:space="10" w:color="EEEEEE"/>
        </w:pBdr>
        <w:spacing w:after="80"/>
        <w:jc w:val="both"/>
      </w:pPr>
      <w:r>
        <w:rPr>
          <w:b/>
          <w:bCs/>
        </w:rPr>
        <w:t>4%</w:t>
      </w:r>
      <w:r>
        <w:t xml:space="preserve"> in standard Municipalities</w:t>
      </w:r>
    </w:p>
    <w:p w14:paraId="29A0AAB1" w14:textId="77777777" w:rsidR="003D7881" w:rsidRDefault="00000000" w:rsidP="00445CC5">
      <w:pPr>
        <w:pBdr>
          <w:left w:val="thick" w:sz="6" w:space="10" w:color="EEEEEE"/>
        </w:pBdr>
        <w:spacing w:after="120"/>
        <w:ind w:left="220"/>
        <w:jc w:val="both"/>
      </w:pPr>
      <w:r>
        <w:rPr>
          <w:rFonts w:cs="Arial"/>
        </w:rPr>
        <w:t xml:space="preserve">Finance Act 2081/82 introduced targeted rebates: 50% discounts for land purchased for agricultural or IT industries; specific exemptions for women, senior citizens, and </w:t>
      </w:r>
      <w:proofErr w:type="spellStart"/>
      <w:r>
        <w:rPr>
          <w:rFonts w:cs="Arial"/>
        </w:rPr>
        <w:t>marginalised</w:t>
      </w:r>
      <w:proofErr w:type="spellEnd"/>
      <w:r>
        <w:rPr>
          <w:rFonts w:cs="Arial"/>
        </w:rPr>
        <w:t xml:space="preserve"> groups. However, the </w:t>
      </w:r>
      <w:r>
        <w:rPr>
          <w:rFonts w:cs="Arial"/>
          <w:b/>
          <w:bCs/>
        </w:rPr>
        <w:t>baseline taxation matrix remained highly punitive</w:t>
      </w:r>
      <w:r>
        <w:rPr>
          <w:rFonts w:cs="Arial"/>
        </w:rPr>
        <w:t xml:space="preserve"> for standard residential and commercial property transfers.</w:t>
      </w:r>
      <w:hyperlink r:id="rId67" w:history="1">
        <w:r>
          <w:rPr>
            <w:rFonts w:cs="Arial"/>
            <w:color w:val="C4921A"/>
            <w:sz w:val="16"/>
            <w:szCs w:val="16"/>
            <w:u w:val="single" w:color="C4921A"/>
            <w:vertAlign w:val="superscript"/>
          </w:rPr>
          <w:t>[44]</w:t>
        </w:r>
      </w:hyperlink>
    </w:p>
    <w:p w14:paraId="13C10F1C"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6D8307FC" w14:textId="77777777">
        <w:tblPrEx>
          <w:tblCellMar>
            <w:top w:w="0" w:type="dxa"/>
            <w:bottom w:w="0" w:type="dxa"/>
          </w:tblCellMar>
        </w:tblPrEx>
        <w:tc>
          <w:tcPr>
            <w:tcW w:w="9000" w:type="dxa"/>
            <w:tcBorders>
              <w:top w:val="none" w:sz="0" w:space="0" w:color="FFFFFF"/>
              <w:left w:val="thick" w:sz="18" w:space="0" w:color="D4813A"/>
              <w:bottom w:val="none" w:sz="0" w:space="0" w:color="FFFFFF"/>
              <w:right w:val="none" w:sz="0" w:space="0" w:color="FFFFFF"/>
            </w:tcBorders>
            <w:shd w:val="clear" w:color="auto" w:fill="FFF8F0"/>
            <w:tcMar>
              <w:top w:w="130" w:type="dxa"/>
              <w:left w:w="220" w:type="dxa"/>
              <w:bottom w:w="130" w:type="dxa"/>
              <w:right w:w="160" w:type="dxa"/>
            </w:tcMar>
          </w:tcPr>
          <w:p w14:paraId="706D7199" w14:textId="77777777" w:rsidR="003D7881" w:rsidRDefault="00000000" w:rsidP="00445CC5">
            <w:pPr>
              <w:spacing w:after="100"/>
              <w:jc w:val="both"/>
            </w:pPr>
            <w:r>
              <w:rPr>
                <w:rFonts w:cs="Arial"/>
                <w:b/>
                <w:bCs/>
                <w:caps/>
                <w:color w:val="A0522D"/>
                <w:sz w:val="17"/>
                <w:szCs w:val="17"/>
              </w:rPr>
              <w:t>Impact</w:t>
            </w:r>
          </w:p>
          <w:p w14:paraId="31ABDEEA" w14:textId="77777777" w:rsidR="003D7881" w:rsidRDefault="00000000" w:rsidP="00445CC5">
            <w:pPr>
              <w:pStyle w:val="ListParagraph"/>
              <w:numPr>
                <w:ilvl w:val="0"/>
                <w:numId w:val="2"/>
              </w:numPr>
              <w:spacing w:after="80"/>
              <w:jc w:val="both"/>
            </w:pPr>
            <w:r>
              <w:rPr>
                <w:sz w:val="19"/>
                <w:szCs w:val="19"/>
              </w:rPr>
              <w:t xml:space="preserve">Encouraged market participants to halt trading OR </w:t>
            </w:r>
            <w:r>
              <w:rPr>
                <w:b/>
                <w:bCs/>
                <w:sz w:val="19"/>
                <w:szCs w:val="19"/>
              </w:rPr>
              <w:t>systematically lie about transaction values</w:t>
            </w:r>
            <w:r>
              <w:rPr>
                <w:sz w:val="19"/>
                <w:szCs w:val="19"/>
              </w:rPr>
              <w:t xml:space="preserve"> to evade taxes</w:t>
            </w:r>
          </w:p>
          <w:p w14:paraId="299372E1" w14:textId="77777777" w:rsidR="003D7881" w:rsidRDefault="00000000" w:rsidP="00445CC5">
            <w:pPr>
              <w:pStyle w:val="ListParagraph"/>
              <w:numPr>
                <w:ilvl w:val="0"/>
                <w:numId w:val="2"/>
              </w:numPr>
              <w:spacing w:after="80"/>
              <w:jc w:val="both"/>
            </w:pPr>
            <w:r>
              <w:rPr>
                <w:sz w:val="19"/>
                <w:szCs w:val="19"/>
              </w:rPr>
              <w:t xml:space="preserve">Contributed to a massive </w:t>
            </w:r>
            <w:r>
              <w:rPr>
                <w:b/>
                <w:bCs/>
                <w:sz w:val="19"/>
                <w:szCs w:val="19"/>
              </w:rPr>
              <w:t>"Valuation Gap"</w:t>
            </w:r>
            <w:r>
              <w:rPr>
                <w:sz w:val="19"/>
                <w:szCs w:val="19"/>
              </w:rPr>
              <w:t xml:space="preserve"> between </w:t>
            </w:r>
            <w:proofErr w:type="spellStart"/>
            <w:r>
              <w:rPr>
                <w:sz w:val="19"/>
                <w:szCs w:val="19"/>
              </w:rPr>
              <w:t>Thaili</w:t>
            </w:r>
            <w:proofErr w:type="spellEnd"/>
            <w:r>
              <w:rPr>
                <w:sz w:val="19"/>
                <w:szCs w:val="19"/>
              </w:rPr>
              <w:t xml:space="preserve"> (declared) value at land revenue offices and actual cash-exchanged market prices</w:t>
            </w:r>
            <w:hyperlink r:id="rId68" w:history="1">
              <w:r>
                <w:rPr>
                  <w:color w:val="C4921A"/>
                  <w:sz w:val="16"/>
                  <w:szCs w:val="16"/>
                  <w:u w:val="single" w:color="C4921A"/>
                  <w:vertAlign w:val="superscript"/>
                </w:rPr>
                <w:t>[62]</w:t>
              </w:r>
            </w:hyperlink>
          </w:p>
          <w:p w14:paraId="18AADA3D" w14:textId="77777777" w:rsidR="003D7881" w:rsidRDefault="00000000" w:rsidP="00445CC5">
            <w:pPr>
              <w:pStyle w:val="ListParagraph"/>
              <w:numPr>
                <w:ilvl w:val="0"/>
                <w:numId w:val="2"/>
              </w:numPr>
              <w:spacing w:after="80"/>
              <w:jc w:val="both"/>
            </w:pPr>
            <w:r>
              <w:rPr>
                <w:sz w:val="19"/>
                <w:szCs w:val="19"/>
              </w:rPr>
              <w:t xml:space="preserve">Starved the government of billions of rupees in legitimate tax revenue while simultaneously </w:t>
            </w:r>
            <w:proofErr w:type="spellStart"/>
            <w:r>
              <w:rPr>
                <w:sz w:val="19"/>
                <w:szCs w:val="19"/>
              </w:rPr>
              <w:t>incentivising</w:t>
            </w:r>
            <w:proofErr w:type="spellEnd"/>
            <w:r>
              <w:rPr>
                <w:sz w:val="19"/>
                <w:szCs w:val="19"/>
              </w:rPr>
              <w:t xml:space="preserve"> the opacity that AML laws were trying to eliminate</w:t>
            </w:r>
          </w:p>
        </w:tc>
      </w:tr>
    </w:tbl>
    <w:p w14:paraId="56D646BB" w14:textId="77777777" w:rsidR="003D7881" w:rsidRDefault="003D7881" w:rsidP="00445CC5">
      <w:pPr>
        <w:spacing w:after="140"/>
        <w:jc w:val="both"/>
      </w:pPr>
    </w:p>
    <w:p w14:paraId="75645B42" w14:textId="77777777" w:rsidR="003D7881" w:rsidRDefault="003D7881" w:rsidP="00445CC5">
      <w:pPr>
        <w:pBdr>
          <w:bottom w:val="single" w:sz="4" w:space="1" w:color="D6D0C8"/>
        </w:pBdr>
        <w:spacing w:before="240" w:after="240"/>
        <w:jc w:val="both"/>
      </w:pPr>
    </w:p>
    <w:p w14:paraId="260DDF53" w14:textId="77777777" w:rsidR="003D7881" w:rsidRDefault="00000000" w:rsidP="00445CC5">
      <w:pPr>
        <w:pBdr>
          <w:left w:val="thick" w:sz="14" w:space="10" w:color="991B1B"/>
        </w:pBdr>
        <w:spacing w:before="280" w:after="60"/>
        <w:ind w:left="220"/>
        <w:jc w:val="both"/>
      </w:pPr>
      <w:r>
        <w:rPr>
          <w:rFonts w:cs="Arial"/>
          <w:b/>
          <w:bCs/>
          <w:color w:val="555555"/>
          <w:sz w:val="18"/>
          <w:szCs w:val="18"/>
        </w:rPr>
        <w:t xml:space="preserve">2080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2023 AD</w:t>
      </w:r>
      <w:r>
        <w:rPr>
          <w:rFonts w:cs="Arial"/>
          <w:sz w:val="18"/>
          <w:szCs w:val="18"/>
        </w:rPr>
        <w:t xml:space="preserve">        </w:t>
      </w:r>
      <w:r>
        <w:rPr>
          <w:rFonts w:cs="Arial"/>
          <w:b/>
          <w:bCs/>
          <w:color w:val="991B1B"/>
          <w:sz w:val="18"/>
          <w:szCs w:val="18"/>
        </w:rPr>
        <w:t>◆ REGULATORY / LEGAL</w:t>
      </w:r>
    </w:p>
    <w:p w14:paraId="7D3D3FA7" w14:textId="20C0BAD6" w:rsidR="003D7881" w:rsidRDefault="00000000" w:rsidP="00445CC5">
      <w:pPr>
        <w:pBdr>
          <w:left w:val="thick" w:sz="14" w:space="10" w:color="DDDDDD"/>
        </w:pBdr>
        <w:spacing w:before="60" w:after="160"/>
        <w:ind w:left="220"/>
        <w:jc w:val="both"/>
      </w:pPr>
      <w:r>
        <w:rPr>
          <w:rFonts w:cs="Arial"/>
          <w:b/>
          <w:bCs/>
          <w:sz w:val="26"/>
          <w:szCs w:val="26"/>
        </w:rPr>
        <w:t xml:space="preserve">First Amendment to Land Use Regulation 2079 </w:t>
      </w:r>
      <w:r w:rsidR="00445CC5">
        <w:rPr>
          <w:rFonts w:cs="Arial"/>
          <w:b/>
          <w:bCs/>
          <w:sz w:val="26"/>
          <w:szCs w:val="26"/>
        </w:rPr>
        <w:t>-</w:t>
      </w:r>
      <w:r>
        <w:rPr>
          <w:rFonts w:cs="Arial"/>
          <w:b/>
          <w:bCs/>
          <w:sz w:val="26"/>
          <w:szCs w:val="26"/>
        </w:rPr>
        <w:t xml:space="preserve"> Deadline Extension Granted; Administrative Bottleneck Persists</w:t>
      </w:r>
    </w:p>
    <w:p w14:paraId="31BFD4F7" w14:textId="6A796021" w:rsidR="003D7881" w:rsidRDefault="00000000" w:rsidP="00445CC5">
      <w:pPr>
        <w:pBdr>
          <w:left w:val="thick" w:sz="6" w:space="10" w:color="EEEEEE"/>
        </w:pBdr>
        <w:spacing w:after="120"/>
        <w:ind w:left="220"/>
        <w:jc w:val="both"/>
      </w:pPr>
      <w:proofErr w:type="spellStart"/>
      <w:r>
        <w:rPr>
          <w:rFonts w:cs="Arial"/>
        </w:rPr>
        <w:t>Recognising</w:t>
      </w:r>
      <w:proofErr w:type="spellEnd"/>
      <w:r>
        <w:rPr>
          <w:rFonts w:cs="Arial"/>
        </w:rPr>
        <w:t xml:space="preserve"> the catastrophic failure of local bodies to complete classification within the original 6-month deadline, the federal government issued the </w:t>
      </w:r>
      <w:r>
        <w:rPr>
          <w:rFonts w:cs="Arial"/>
          <w:b/>
          <w:bCs/>
        </w:rPr>
        <w:t>first amendment</w:t>
      </w:r>
      <w:r>
        <w:rPr>
          <w:rFonts w:cs="Arial"/>
        </w:rPr>
        <w:t xml:space="preserve"> granting deadline extensions.</w:t>
      </w:r>
      <w:hyperlink r:id="rId69" w:history="1">
        <w:r>
          <w:rPr>
            <w:rFonts w:cs="Arial"/>
            <w:color w:val="C4921A"/>
            <w:sz w:val="16"/>
            <w:szCs w:val="16"/>
            <w:u w:val="single" w:color="C4921A"/>
            <w:vertAlign w:val="superscript"/>
          </w:rPr>
          <w:t>[32]</w:t>
        </w:r>
      </w:hyperlink>
      <w:r>
        <w:rPr>
          <w:rFonts w:cs="Arial"/>
        </w:rPr>
        <w:t xml:space="preserve"> However, the administrative bottleneck persisted </w:t>
      </w:r>
      <w:r w:rsidR="00445CC5">
        <w:rPr>
          <w:rFonts w:cs="Arial"/>
        </w:rPr>
        <w:t>-</w:t>
      </w:r>
      <w:r>
        <w:rPr>
          <w:rFonts w:cs="Arial"/>
        </w:rPr>
        <w:t xml:space="preserve"> municipalities still lacked GIS resources, trained cadastral personnel, and political consensus to complete classification.</w:t>
      </w:r>
    </w:p>
    <w:p w14:paraId="2759E5C4"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4F303ECE" w14:textId="77777777">
        <w:tblPrEx>
          <w:tblCellMar>
            <w:top w:w="0" w:type="dxa"/>
            <w:bottom w:w="0" w:type="dxa"/>
          </w:tblCellMar>
        </w:tblPrEx>
        <w:tc>
          <w:tcPr>
            <w:tcW w:w="9000" w:type="dxa"/>
            <w:tcBorders>
              <w:top w:val="none" w:sz="0" w:space="0" w:color="FFFFFF"/>
              <w:left w:val="thick" w:sz="18" w:space="0" w:color="D4813A"/>
              <w:bottom w:val="none" w:sz="0" w:space="0" w:color="FFFFFF"/>
              <w:right w:val="none" w:sz="0" w:space="0" w:color="FFFFFF"/>
            </w:tcBorders>
            <w:shd w:val="clear" w:color="auto" w:fill="FFF8F0"/>
            <w:tcMar>
              <w:top w:w="130" w:type="dxa"/>
              <w:left w:w="220" w:type="dxa"/>
              <w:bottom w:w="130" w:type="dxa"/>
              <w:right w:w="160" w:type="dxa"/>
            </w:tcMar>
          </w:tcPr>
          <w:p w14:paraId="3ED06878" w14:textId="77777777" w:rsidR="003D7881" w:rsidRDefault="00000000" w:rsidP="00445CC5">
            <w:pPr>
              <w:spacing w:after="100"/>
              <w:jc w:val="both"/>
            </w:pPr>
            <w:r>
              <w:rPr>
                <w:rFonts w:cs="Arial"/>
                <w:b/>
                <w:bCs/>
                <w:caps/>
                <w:color w:val="A0522D"/>
                <w:sz w:val="17"/>
                <w:szCs w:val="17"/>
              </w:rPr>
              <w:t>Impact</w:t>
            </w:r>
          </w:p>
          <w:p w14:paraId="5C449C62" w14:textId="77777777" w:rsidR="003D7881" w:rsidRDefault="00000000" w:rsidP="00445CC5">
            <w:pPr>
              <w:spacing w:after="90"/>
              <w:jc w:val="both"/>
            </w:pPr>
            <w:r>
              <w:rPr>
                <w:rFonts w:cs="Arial"/>
                <w:sz w:val="19"/>
                <w:szCs w:val="19"/>
              </w:rPr>
              <w:t>Temporary relief but no fundamental resolution. The extension bought time but did not provide the technical capacity municipalities needed. A political response to an administrative failure, not a structural solution. Market remained largely frozen.</w:t>
            </w:r>
          </w:p>
        </w:tc>
      </w:tr>
    </w:tbl>
    <w:p w14:paraId="08E65190" w14:textId="77777777" w:rsidR="003D7881" w:rsidRDefault="003D7881" w:rsidP="00445CC5">
      <w:pPr>
        <w:spacing w:after="140"/>
        <w:jc w:val="both"/>
      </w:pPr>
    </w:p>
    <w:p w14:paraId="06D3A3EF" w14:textId="77777777" w:rsidR="003D7881" w:rsidRDefault="003D7881" w:rsidP="00445CC5">
      <w:pPr>
        <w:pBdr>
          <w:bottom w:val="single" w:sz="4" w:space="1" w:color="D6D0C8"/>
        </w:pBdr>
        <w:spacing w:before="240" w:after="240"/>
        <w:jc w:val="both"/>
      </w:pPr>
    </w:p>
    <w:p w14:paraId="0044B828" w14:textId="77777777" w:rsidR="003D7881" w:rsidRDefault="00000000" w:rsidP="00445CC5">
      <w:pPr>
        <w:pBdr>
          <w:left w:val="thick" w:sz="14" w:space="10" w:color="5B21B6"/>
        </w:pBdr>
        <w:spacing w:before="280" w:after="60"/>
        <w:ind w:left="220"/>
        <w:jc w:val="both"/>
      </w:pPr>
      <w:r>
        <w:rPr>
          <w:rFonts w:cs="Arial"/>
          <w:b/>
          <w:bCs/>
          <w:color w:val="555555"/>
          <w:sz w:val="18"/>
          <w:szCs w:val="18"/>
        </w:rPr>
        <w:lastRenderedPageBreak/>
        <w:t xml:space="preserve">Poush 2080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December 2023 AD</w:t>
      </w:r>
      <w:r>
        <w:rPr>
          <w:rFonts w:cs="Arial"/>
          <w:sz w:val="18"/>
          <w:szCs w:val="18"/>
        </w:rPr>
        <w:t xml:space="preserve">        </w:t>
      </w:r>
      <w:r>
        <w:rPr>
          <w:rFonts w:cs="Arial"/>
          <w:b/>
          <w:bCs/>
          <w:color w:val="5B21B6"/>
          <w:sz w:val="18"/>
          <w:szCs w:val="18"/>
        </w:rPr>
        <w:t>◆ JUDICIAL</w:t>
      </w:r>
    </w:p>
    <w:p w14:paraId="67599013" w14:textId="6C251C56" w:rsidR="003D7881" w:rsidRDefault="00000000" w:rsidP="00445CC5">
      <w:pPr>
        <w:pBdr>
          <w:left w:val="thick" w:sz="14" w:space="10" w:color="DDDDDD"/>
        </w:pBdr>
        <w:spacing w:before="60" w:after="160"/>
        <w:ind w:left="220"/>
        <w:jc w:val="both"/>
      </w:pPr>
      <w:r>
        <w:rPr>
          <w:rFonts w:cs="Arial"/>
          <w:b/>
          <w:bCs/>
          <w:sz w:val="26"/>
          <w:szCs w:val="26"/>
        </w:rPr>
        <w:t xml:space="preserve">Supreme Court Joint Bench Orders Additional 20-Metre Riverbank Setback </w:t>
      </w:r>
      <w:r w:rsidR="00445CC5">
        <w:rPr>
          <w:rFonts w:cs="Arial"/>
          <w:b/>
          <w:bCs/>
          <w:sz w:val="26"/>
          <w:szCs w:val="26"/>
        </w:rPr>
        <w:t>-</w:t>
      </w:r>
      <w:r>
        <w:rPr>
          <w:rFonts w:cs="Arial"/>
          <w:b/>
          <w:bCs/>
          <w:sz w:val="26"/>
          <w:szCs w:val="26"/>
        </w:rPr>
        <w:t xml:space="preserve"> Total 40-Metre Buffer Zone Throws Kathmandu Market </w:t>
      </w:r>
      <w:proofErr w:type="gramStart"/>
      <w:r>
        <w:rPr>
          <w:rFonts w:cs="Arial"/>
          <w:b/>
          <w:bCs/>
          <w:sz w:val="26"/>
          <w:szCs w:val="26"/>
        </w:rPr>
        <w:t>Into</w:t>
      </w:r>
      <w:proofErr w:type="gramEnd"/>
      <w:r>
        <w:rPr>
          <w:rFonts w:cs="Arial"/>
          <w:b/>
          <w:bCs/>
          <w:sz w:val="26"/>
          <w:szCs w:val="26"/>
        </w:rPr>
        <w:t xml:space="preserve"> Chaos</w:t>
      </w:r>
    </w:p>
    <w:p w14:paraId="71F915EC" w14:textId="7DA49E8E" w:rsidR="003D7881" w:rsidRDefault="00000000" w:rsidP="00445CC5">
      <w:pPr>
        <w:pBdr>
          <w:left w:val="thick" w:sz="6" w:space="10" w:color="EEEEEE"/>
        </w:pBdr>
        <w:spacing w:after="120"/>
        <w:ind w:left="220"/>
        <w:jc w:val="both"/>
      </w:pPr>
      <w:r>
        <w:rPr>
          <w:rFonts w:cs="Arial"/>
        </w:rPr>
        <w:t xml:space="preserve">A joint bench of the Supreme Court issued a sweeping </w:t>
      </w:r>
      <w:r>
        <w:rPr>
          <w:rFonts w:cs="Arial"/>
          <w:b/>
          <w:bCs/>
        </w:rPr>
        <w:t>mandamus order mandating an additional 20-metre setback</w:t>
      </w:r>
      <w:r>
        <w:rPr>
          <w:rFonts w:cs="Arial"/>
        </w:rPr>
        <w:t xml:space="preserve"> (buffer zone) along the banks of the Bagmati River and its numerous tributaries within the Kathmandu Valley.</w:t>
      </w:r>
      <w:hyperlink r:id="rId70" w:history="1">
        <w:r>
          <w:rPr>
            <w:rFonts w:cs="Arial"/>
            <w:color w:val="C4921A"/>
            <w:sz w:val="16"/>
            <w:szCs w:val="16"/>
            <w:u w:val="single" w:color="C4921A"/>
            <w:vertAlign w:val="superscript"/>
          </w:rPr>
          <w:t>[48]</w:t>
        </w:r>
      </w:hyperlink>
      <w:r>
        <w:rPr>
          <w:rFonts w:cs="Arial"/>
        </w:rPr>
        <w:t xml:space="preserve"> This was in addition to the existing 20-metre standard established by the Cabinet in 2008 </w:t>
      </w:r>
      <w:r w:rsidR="00445CC5">
        <w:rPr>
          <w:rFonts w:cs="Arial"/>
        </w:rPr>
        <w:t>-</w:t>
      </w:r>
      <w:r>
        <w:rPr>
          <w:rFonts w:cs="Arial"/>
        </w:rPr>
        <w:t xml:space="preserve"> effectively creating a massive total of </w:t>
      </w:r>
      <w:r>
        <w:rPr>
          <w:rFonts w:cs="Arial"/>
          <w:b/>
          <w:bCs/>
        </w:rPr>
        <w:t xml:space="preserve">40 </w:t>
      </w:r>
      <w:proofErr w:type="spellStart"/>
      <w:r>
        <w:rPr>
          <w:rFonts w:cs="Arial"/>
          <w:b/>
          <w:bCs/>
        </w:rPr>
        <w:t>metres</w:t>
      </w:r>
      <w:proofErr w:type="spellEnd"/>
      <w:r>
        <w:rPr>
          <w:rFonts w:cs="Arial"/>
          <w:b/>
          <w:bCs/>
        </w:rPr>
        <w:t xml:space="preserve"> on either side of rivers as absolute "no-construction zones."</w:t>
      </w:r>
      <w:hyperlink r:id="rId71" w:history="1">
        <w:r>
          <w:rPr>
            <w:rFonts w:cs="Arial"/>
            <w:color w:val="C4921A"/>
            <w:sz w:val="16"/>
            <w:szCs w:val="16"/>
            <w:u w:val="single" w:color="C4921A"/>
            <w:vertAlign w:val="superscript"/>
          </w:rPr>
          <w:t>[50]</w:t>
        </w:r>
      </w:hyperlink>
    </w:p>
    <w:p w14:paraId="7BCAF1F9" w14:textId="77777777" w:rsidR="003D7881" w:rsidRDefault="00000000" w:rsidP="00445CC5">
      <w:pPr>
        <w:pBdr>
          <w:left w:val="thick" w:sz="6" w:space="10" w:color="EEEEEE"/>
        </w:pBdr>
        <w:spacing w:after="120"/>
        <w:ind w:left="220"/>
        <w:jc w:val="both"/>
      </w:pPr>
      <w:r>
        <w:rPr>
          <w:rFonts w:cs="Arial"/>
        </w:rPr>
        <w:t xml:space="preserve">The ruling instantly threatened to </w:t>
      </w:r>
      <w:proofErr w:type="spellStart"/>
      <w:r>
        <w:rPr>
          <w:rFonts w:cs="Arial"/>
          <w:b/>
          <w:bCs/>
        </w:rPr>
        <w:t>criminalise</w:t>
      </w:r>
      <w:proofErr w:type="spellEnd"/>
      <w:r>
        <w:rPr>
          <w:rFonts w:cs="Arial"/>
          <w:b/>
          <w:bCs/>
        </w:rPr>
        <w:t xml:space="preserve"> thousands of existing, previously legal residential structures,</w:t>
      </w:r>
      <w:r>
        <w:rPr>
          <w:rFonts w:cs="Arial"/>
        </w:rPr>
        <w:t xml:space="preserve"> halted all pending municipal map approvals, and raised the prospect of displacing millions of urban residents.</w:t>
      </w:r>
      <w:hyperlink r:id="rId72" w:history="1">
        <w:r>
          <w:rPr>
            <w:rFonts w:cs="Arial"/>
            <w:color w:val="C4921A"/>
            <w:sz w:val="16"/>
            <w:szCs w:val="16"/>
            <w:u w:val="single" w:color="C4921A"/>
            <w:vertAlign w:val="superscript"/>
          </w:rPr>
          <w:t>[48]</w:t>
        </w:r>
      </w:hyperlink>
      <w:hyperlink r:id="rId73" w:history="1">
        <w:r>
          <w:rPr>
            <w:rFonts w:cs="Arial"/>
            <w:color w:val="C4921A"/>
            <w:sz w:val="16"/>
            <w:szCs w:val="16"/>
            <w:u w:val="single" w:color="C4921A"/>
            <w:vertAlign w:val="superscript"/>
          </w:rPr>
          <w:t>[51]</w:t>
        </w:r>
      </w:hyperlink>
      <w:r>
        <w:rPr>
          <w:rFonts w:cs="Arial"/>
        </w:rPr>
        <w:t xml:space="preserve"> </w:t>
      </w:r>
      <w:proofErr w:type="spellStart"/>
      <w:r>
        <w:rPr>
          <w:rFonts w:cs="Arial"/>
        </w:rPr>
        <w:t>Recognising</w:t>
      </w:r>
      <w:proofErr w:type="spellEnd"/>
      <w:r>
        <w:rPr>
          <w:rFonts w:cs="Arial"/>
        </w:rPr>
        <w:t xml:space="preserve"> the fiscal impossibility of paying constitutionally mandated land acquisition compensation for such a vast swath of prime urban real estate, the federal government filed a </w:t>
      </w:r>
      <w:r>
        <w:rPr>
          <w:rFonts w:cs="Arial"/>
          <w:b/>
          <w:bCs/>
        </w:rPr>
        <w:t>review petition through the Attorney General's Office.</w:t>
      </w:r>
      <w:hyperlink r:id="rId74" w:history="1">
        <w:r>
          <w:rPr>
            <w:rFonts w:cs="Arial"/>
            <w:color w:val="C4921A"/>
            <w:sz w:val="16"/>
            <w:szCs w:val="16"/>
            <w:u w:val="single" w:color="C4921A"/>
            <w:vertAlign w:val="superscript"/>
          </w:rPr>
          <w:t>[50]</w:t>
        </w:r>
      </w:hyperlink>
    </w:p>
    <w:p w14:paraId="33B1C53C"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0B57F832" w14:textId="77777777">
        <w:tblPrEx>
          <w:tblCellMar>
            <w:top w:w="0" w:type="dxa"/>
            <w:bottom w:w="0" w:type="dxa"/>
          </w:tblCellMar>
        </w:tblPrEx>
        <w:tc>
          <w:tcPr>
            <w:tcW w:w="9000" w:type="dxa"/>
            <w:tcBorders>
              <w:top w:val="none" w:sz="0" w:space="0" w:color="FFFFFF"/>
              <w:left w:val="thick" w:sz="18" w:space="0" w:color="D4813A"/>
              <w:bottom w:val="none" w:sz="0" w:space="0" w:color="FFFFFF"/>
              <w:right w:val="none" w:sz="0" w:space="0" w:color="FFFFFF"/>
            </w:tcBorders>
            <w:shd w:val="clear" w:color="auto" w:fill="FFF8F0"/>
            <w:tcMar>
              <w:top w:w="130" w:type="dxa"/>
              <w:left w:w="220" w:type="dxa"/>
              <w:bottom w:w="130" w:type="dxa"/>
              <w:right w:w="160" w:type="dxa"/>
            </w:tcMar>
          </w:tcPr>
          <w:p w14:paraId="45E8584D" w14:textId="77777777" w:rsidR="003D7881" w:rsidRDefault="00000000" w:rsidP="00445CC5">
            <w:pPr>
              <w:spacing w:after="100"/>
              <w:jc w:val="both"/>
            </w:pPr>
            <w:r>
              <w:rPr>
                <w:rFonts w:cs="Arial"/>
                <w:b/>
                <w:bCs/>
                <w:caps/>
                <w:color w:val="A0522D"/>
                <w:sz w:val="17"/>
                <w:szCs w:val="17"/>
              </w:rPr>
              <w:t>Impact</w:t>
            </w:r>
          </w:p>
          <w:p w14:paraId="7D906314" w14:textId="77777777" w:rsidR="003D7881" w:rsidRDefault="00000000" w:rsidP="00445CC5">
            <w:pPr>
              <w:pStyle w:val="ListParagraph"/>
              <w:numPr>
                <w:ilvl w:val="0"/>
                <w:numId w:val="2"/>
              </w:numPr>
              <w:spacing w:after="80"/>
              <w:jc w:val="both"/>
            </w:pPr>
            <w:r>
              <w:rPr>
                <w:sz w:val="19"/>
                <w:szCs w:val="19"/>
              </w:rPr>
              <w:t xml:space="preserve">Property valuations and transactions along all riverine corridors in Kathmandu Valley </w:t>
            </w:r>
            <w:r>
              <w:rPr>
                <w:b/>
                <w:bCs/>
                <w:sz w:val="19"/>
                <w:szCs w:val="19"/>
              </w:rPr>
              <w:t>completely frozen</w:t>
            </w:r>
          </w:p>
          <w:p w14:paraId="2735DFB1" w14:textId="77777777" w:rsidR="003D7881" w:rsidRDefault="00000000" w:rsidP="00445CC5">
            <w:pPr>
              <w:pStyle w:val="ListParagraph"/>
              <w:numPr>
                <w:ilvl w:val="0"/>
                <w:numId w:val="2"/>
              </w:numPr>
              <w:spacing w:after="80"/>
              <w:jc w:val="both"/>
            </w:pPr>
            <w:r>
              <w:rPr>
                <w:sz w:val="19"/>
                <w:szCs w:val="19"/>
              </w:rPr>
              <w:t xml:space="preserve">Legal uncertainty </w:t>
            </w:r>
            <w:proofErr w:type="spellStart"/>
            <w:r>
              <w:rPr>
                <w:sz w:val="19"/>
                <w:szCs w:val="19"/>
              </w:rPr>
              <w:t>paralysed</w:t>
            </w:r>
            <w:proofErr w:type="spellEnd"/>
            <w:r>
              <w:rPr>
                <w:sz w:val="19"/>
                <w:szCs w:val="19"/>
              </w:rPr>
              <w:t xml:space="preserve"> buyers and developers across all riverside areas</w:t>
            </w:r>
            <w:hyperlink r:id="rId75" w:history="1">
              <w:r>
                <w:rPr>
                  <w:color w:val="C4921A"/>
                  <w:sz w:val="16"/>
                  <w:szCs w:val="16"/>
                  <w:u w:val="single" w:color="C4921A"/>
                  <w:vertAlign w:val="superscript"/>
                </w:rPr>
                <w:t>[52]</w:t>
              </w:r>
            </w:hyperlink>
          </w:p>
          <w:p w14:paraId="58D352A8" w14:textId="77777777" w:rsidR="003D7881" w:rsidRDefault="00000000" w:rsidP="00445CC5">
            <w:pPr>
              <w:pStyle w:val="ListParagraph"/>
              <w:numPr>
                <w:ilvl w:val="0"/>
                <w:numId w:val="2"/>
              </w:numPr>
              <w:spacing w:after="80"/>
              <w:jc w:val="both"/>
            </w:pPr>
            <w:r>
              <w:rPr>
                <w:sz w:val="19"/>
                <w:szCs w:val="19"/>
              </w:rPr>
              <w:t>All pending municipal building map approvals halted</w:t>
            </w:r>
          </w:p>
          <w:p w14:paraId="3E16CA34" w14:textId="77777777" w:rsidR="003D7881" w:rsidRDefault="00000000" w:rsidP="00445CC5">
            <w:pPr>
              <w:pStyle w:val="ListParagraph"/>
              <w:numPr>
                <w:ilvl w:val="0"/>
                <w:numId w:val="2"/>
              </w:numPr>
              <w:spacing w:after="80"/>
              <w:jc w:val="both"/>
            </w:pPr>
            <w:r>
              <w:rPr>
                <w:sz w:val="19"/>
                <w:szCs w:val="19"/>
              </w:rPr>
              <w:t>Illustrated how sudden judicial decrees create a "highly volatile and unpredictable legal environment for land investors and developers"</w:t>
            </w:r>
          </w:p>
        </w:tc>
      </w:tr>
    </w:tbl>
    <w:p w14:paraId="48D95EB2" w14:textId="77777777" w:rsidR="003D7881" w:rsidRDefault="003D7881" w:rsidP="00445CC5">
      <w:pPr>
        <w:spacing w:after="140"/>
        <w:jc w:val="both"/>
      </w:pPr>
    </w:p>
    <w:p w14:paraId="5612A5E9" w14:textId="77777777" w:rsidR="003D7881" w:rsidRDefault="003D7881" w:rsidP="00445CC5">
      <w:pPr>
        <w:pBdr>
          <w:bottom w:val="single" w:sz="4" w:space="1" w:color="D6D0C8"/>
        </w:pBdr>
        <w:spacing w:before="240" w:after="240"/>
        <w:jc w:val="both"/>
      </w:pPr>
    </w:p>
    <w:p w14:paraId="2473ADEB" w14:textId="77777777" w:rsidR="003D7881" w:rsidRDefault="00000000" w:rsidP="00445CC5">
      <w:pPr>
        <w:pBdr>
          <w:left w:val="thick" w:sz="14" w:space="10" w:color="065F46"/>
        </w:pBdr>
        <w:spacing w:before="280" w:after="60"/>
        <w:ind w:left="220"/>
        <w:jc w:val="both"/>
      </w:pPr>
      <w:r>
        <w:rPr>
          <w:rFonts w:cs="Arial"/>
          <w:b/>
          <w:bCs/>
          <w:color w:val="555555"/>
          <w:sz w:val="18"/>
          <w:szCs w:val="18"/>
        </w:rPr>
        <w:t xml:space="preserve">2080/81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FY 2023/24 AD</w:t>
      </w:r>
      <w:r>
        <w:rPr>
          <w:rFonts w:cs="Arial"/>
          <w:sz w:val="18"/>
          <w:szCs w:val="18"/>
        </w:rPr>
        <w:t xml:space="preserve">        </w:t>
      </w:r>
      <w:r>
        <w:rPr>
          <w:rFonts w:cs="Arial"/>
          <w:b/>
          <w:bCs/>
          <w:color w:val="065F46"/>
          <w:sz w:val="18"/>
          <w:szCs w:val="18"/>
        </w:rPr>
        <w:t>◆ MARKET DATA</w:t>
      </w:r>
    </w:p>
    <w:p w14:paraId="04E3D4C9" w14:textId="1D095BD3" w:rsidR="003D7881" w:rsidRDefault="00000000" w:rsidP="00445CC5">
      <w:pPr>
        <w:pBdr>
          <w:left w:val="thick" w:sz="14" w:space="10" w:color="DDDDDD"/>
        </w:pBdr>
        <w:spacing w:before="60" w:after="160"/>
        <w:ind w:left="220"/>
        <w:jc w:val="both"/>
      </w:pPr>
      <w:r>
        <w:rPr>
          <w:rFonts w:cs="Arial"/>
          <w:b/>
          <w:bCs/>
          <w:sz w:val="26"/>
          <w:szCs w:val="26"/>
        </w:rPr>
        <w:t xml:space="preserve">Annual Market Data: Severe Stagnation </w:t>
      </w:r>
      <w:r w:rsidR="00445CC5">
        <w:rPr>
          <w:rFonts w:cs="Arial"/>
          <w:b/>
          <w:bCs/>
          <w:sz w:val="26"/>
          <w:szCs w:val="26"/>
        </w:rPr>
        <w:t>-</w:t>
      </w:r>
      <w:r>
        <w:rPr>
          <w:rFonts w:cs="Arial"/>
          <w:b/>
          <w:bCs/>
          <w:sz w:val="26"/>
          <w:szCs w:val="26"/>
        </w:rPr>
        <w:t xml:space="preserve"> Market Officially Described as "Frozen"</w:t>
      </w:r>
    </w:p>
    <w:p w14:paraId="3366D047" w14:textId="77777777" w:rsidR="003D7881" w:rsidRDefault="00000000" w:rsidP="00445CC5">
      <w:pPr>
        <w:pBdr>
          <w:left w:val="thick" w:sz="6" w:space="10" w:color="EEEEEE"/>
        </w:pBdr>
        <w:spacing w:after="120"/>
        <w:ind w:left="220"/>
        <w:jc w:val="both"/>
      </w:pPr>
      <w:r>
        <w:rPr>
          <w:rFonts w:cs="Arial"/>
        </w:rPr>
        <w:t>Full-year data for FY 2080/81 confirmed the market remained deeply suppressed despite a slight recovery in deed volume.</w:t>
      </w:r>
      <w:hyperlink r:id="rId76" w:history="1">
        <w:r>
          <w:rPr>
            <w:rFonts w:cs="Arial"/>
            <w:color w:val="C4921A"/>
            <w:sz w:val="16"/>
            <w:szCs w:val="16"/>
            <w:u w:val="single" w:color="C4921A"/>
            <w:vertAlign w:val="superscript"/>
          </w:rPr>
          <w:t>[58]</w:t>
        </w:r>
      </w:hyperlink>
      <w:hyperlink r:id="rId77" w:history="1">
        <w:r>
          <w:rPr>
            <w:rFonts w:cs="Arial"/>
            <w:color w:val="C4921A"/>
            <w:sz w:val="16"/>
            <w:szCs w:val="16"/>
            <w:u w:val="single" w:color="C4921A"/>
            <w:vertAlign w:val="superscript"/>
          </w:rPr>
          <w:t>[1]</w:t>
        </w:r>
      </w:hyperlink>
    </w:p>
    <w:p w14:paraId="0A51028C"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0DFBE636" w14:textId="77777777">
        <w:tblPrEx>
          <w:tblCellMar>
            <w:top w:w="0" w:type="dxa"/>
            <w:bottom w:w="0" w:type="dxa"/>
          </w:tblCellMar>
        </w:tblPrEx>
        <w:tc>
          <w:tcPr>
            <w:tcW w:w="9000" w:type="dxa"/>
            <w:tcBorders>
              <w:top w:val="none" w:sz="0" w:space="0" w:color="FFFFFF"/>
              <w:left w:val="thick" w:sz="18" w:space="0" w:color="2E8B57"/>
              <w:bottom w:val="none" w:sz="0" w:space="0" w:color="FFFFFF"/>
              <w:right w:val="none" w:sz="0" w:space="0" w:color="FFFFFF"/>
            </w:tcBorders>
            <w:shd w:val="clear" w:color="auto" w:fill="F0FAF4"/>
            <w:tcMar>
              <w:top w:w="130" w:type="dxa"/>
              <w:left w:w="220" w:type="dxa"/>
              <w:bottom w:w="130" w:type="dxa"/>
              <w:right w:w="160" w:type="dxa"/>
            </w:tcMar>
          </w:tcPr>
          <w:p w14:paraId="60DB64A9" w14:textId="77777777" w:rsidR="003D7881" w:rsidRDefault="00000000" w:rsidP="00445CC5">
            <w:pPr>
              <w:spacing w:after="100"/>
              <w:jc w:val="both"/>
            </w:pPr>
            <w:r>
              <w:rPr>
                <w:rFonts w:cs="Arial"/>
                <w:b/>
                <w:bCs/>
                <w:caps/>
                <w:color w:val="1A5E3A"/>
                <w:sz w:val="17"/>
                <w:szCs w:val="17"/>
              </w:rPr>
              <w:t>Key Data</w:t>
            </w:r>
          </w:p>
          <w:p w14:paraId="5BB1A340" w14:textId="77777777" w:rsidR="003D7881" w:rsidRDefault="00000000" w:rsidP="00445CC5">
            <w:pPr>
              <w:pStyle w:val="ListParagraph"/>
              <w:numPr>
                <w:ilvl w:val="0"/>
                <w:numId w:val="2"/>
              </w:numPr>
              <w:spacing w:after="80"/>
              <w:jc w:val="both"/>
            </w:pPr>
            <w:r>
              <w:rPr>
                <w:b/>
                <w:bCs/>
                <w:sz w:val="19"/>
                <w:szCs w:val="19"/>
              </w:rPr>
              <w:t xml:space="preserve">Total Land Deeds Processed: </w:t>
            </w:r>
            <w:r>
              <w:rPr>
                <w:sz w:val="19"/>
                <w:szCs w:val="19"/>
              </w:rPr>
              <w:t>538,128</w:t>
            </w:r>
          </w:p>
          <w:p w14:paraId="48D0B1C1" w14:textId="77777777" w:rsidR="003D7881" w:rsidRDefault="00000000" w:rsidP="00445CC5">
            <w:pPr>
              <w:pStyle w:val="ListParagraph"/>
              <w:numPr>
                <w:ilvl w:val="0"/>
                <w:numId w:val="2"/>
              </w:numPr>
              <w:spacing w:after="80"/>
              <w:jc w:val="both"/>
            </w:pPr>
            <w:r>
              <w:rPr>
                <w:b/>
                <w:bCs/>
                <w:sz w:val="19"/>
                <w:szCs w:val="19"/>
              </w:rPr>
              <w:t xml:space="preserve">Government Revenue from Real Estate: </w:t>
            </w:r>
            <w:r>
              <w:rPr>
                <w:sz w:val="19"/>
                <w:szCs w:val="19"/>
              </w:rPr>
              <w:t xml:space="preserve">Rs. 49.04 </w:t>
            </w:r>
            <w:proofErr w:type="gramStart"/>
            <w:r>
              <w:rPr>
                <w:sz w:val="19"/>
                <w:szCs w:val="19"/>
              </w:rPr>
              <w:t>Billion</w:t>
            </w:r>
            <w:proofErr w:type="gramEnd"/>
          </w:p>
          <w:p w14:paraId="09401B59" w14:textId="77777777" w:rsidR="003D7881" w:rsidRDefault="00000000" w:rsidP="00445CC5">
            <w:pPr>
              <w:pStyle w:val="ListParagraph"/>
              <w:numPr>
                <w:ilvl w:val="0"/>
                <w:numId w:val="2"/>
              </w:numPr>
              <w:spacing w:after="80"/>
              <w:jc w:val="both"/>
            </w:pPr>
            <w:r>
              <w:rPr>
                <w:b/>
                <w:bCs/>
                <w:sz w:val="19"/>
                <w:szCs w:val="19"/>
              </w:rPr>
              <w:t xml:space="preserve">Market Status: </w:t>
            </w:r>
            <w:r>
              <w:rPr>
                <w:sz w:val="19"/>
                <w:szCs w:val="19"/>
              </w:rPr>
              <w:t>Severe Stagnation ("Market Frozen")</w:t>
            </w:r>
          </w:p>
          <w:p w14:paraId="7B65DDD3" w14:textId="77777777" w:rsidR="003D7881" w:rsidRDefault="00000000" w:rsidP="00445CC5">
            <w:pPr>
              <w:pStyle w:val="ListParagraph"/>
              <w:numPr>
                <w:ilvl w:val="0"/>
                <w:numId w:val="2"/>
              </w:numPr>
              <w:spacing w:after="80"/>
              <w:jc w:val="both"/>
            </w:pPr>
            <w:r>
              <w:rPr>
                <w:sz w:val="19"/>
                <w:szCs w:val="19"/>
              </w:rPr>
              <w:t xml:space="preserve">Annual supply of </w:t>
            </w:r>
            <w:proofErr w:type="spellStart"/>
            <w:r>
              <w:rPr>
                <w:sz w:val="19"/>
                <w:szCs w:val="19"/>
              </w:rPr>
              <w:t>formalised</w:t>
            </w:r>
            <w:proofErr w:type="spellEnd"/>
            <w:r>
              <w:rPr>
                <w:sz w:val="19"/>
                <w:szCs w:val="19"/>
              </w:rPr>
              <w:t xml:space="preserve"> housing units in Kathmandu Valley historically well below the required </w:t>
            </w:r>
            <w:r>
              <w:rPr>
                <w:b/>
                <w:bCs/>
                <w:sz w:val="19"/>
                <w:szCs w:val="19"/>
              </w:rPr>
              <w:t>24,547 units/year</w:t>
            </w:r>
            <w:r>
              <w:rPr>
                <w:sz w:val="19"/>
                <w:szCs w:val="19"/>
              </w:rPr>
              <w:t xml:space="preserve"> to meet demographic demand</w:t>
            </w:r>
            <w:hyperlink r:id="rId78" w:history="1">
              <w:r>
                <w:rPr>
                  <w:color w:val="C4921A"/>
                  <w:sz w:val="16"/>
                  <w:szCs w:val="16"/>
                  <w:u w:val="single" w:color="C4921A"/>
                  <w:vertAlign w:val="superscript"/>
                </w:rPr>
                <w:t>[61]</w:t>
              </w:r>
            </w:hyperlink>
          </w:p>
        </w:tc>
      </w:tr>
    </w:tbl>
    <w:p w14:paraId="13BB5127" w14:textId="77777777" w:rsidR="003D7881" w:rsidRDefault="003D7881" w:rsidP="00445CC5">
      <w:pPr>
        <w:spacing w:after="140"/>
        <w:jc w:val="both"/>
      </w:pPr>
    </w:p>
    <w:p w14:paraId="14250D1A" w14:textId="77777777" w:rsidR="003D7881" w:rsidRDefault="003D7881" w:rsidP="00445CC5">
      <w:pPr>
        <w:pBdr>
          <w:bottom w:val="single" w:sz="4" w:space="1" w:color="D6D0C8"/>
        </w:pBdr>
        <w:spacing w:before="240" w:after="240"/>
        <w:jc w:val="both"/>
      </w:pPr>
    </w:p>
    <w:p w14:paraId="6C74604E" w14:textId="1D366887" w:rsidR="003D7881" w:rsidRDefault="00000000" w:rsidP="00445CC5">
      <w:pPr>
        <w:pBdr>
          <w:left w:val="thick" w:sz="14" w:space="10" w:color="991B1B"/>
        </w:pBdr>
        <w:spacing w:before="280" w:after="60"/>
        <w:ind w:left="220"/>
        <w:jc w:val="both"/>
      </w:pPr>
      <w:r>
        <w:rPr>
          <w:rFonts w:cs="Arial"/>
          <w:b/>
          <w:bCs/>
          <w:color w:val="555555"/>
          <w:sz w:val="18"/>
          <w:szCs w:val="18"/>
        </w:rPr>
        <w:t xml:space="preserve">Ongoing </w:t>
      </w:r>
      <w:r w:rsidR="00445CC5">
        <w:rPr>
          <w:rFonts w:cs="Arial"/>
          <w:b/>
          <w:bCs/>
          <w:color w:val="555555"/>
          <w:sz w:val="18"/>
          <w:szCs w:val="18"/>
        </w:rPr>
        <w:t>-</w:t>
      </w:r>
      <w:r>
        <w:rPr>
          <w:rFonts w:cs="Arial"/>
          <w:b/>
          <w:bCs/>
          <w:color w:val="555555"/>
          <w:sz w:val="18"/>
          <w:szCs w:val="18"/>
        </w:rPr>
        <w:t xml:space="preserve"> </w:t>
      </w:r>
      <w:proofErr w:type="gramStart"/>
      <w:r>
        <w:rPr>
          <w:rFonts w:cs="Arial"/>
          <w:b/>
          <w:bCs/>
          <w:color w:val="555555"/>
          <w:sz w:val="18"/>
          <w:szCs w:val="18"/>
        </w:rPr>
        <w:t>Pre-Late</w:t>
      </w:r>
      <w:proofErr w:type="gramEnd"/>
      <w:r>
        <w:rPr>
          <w:rFonts w:cs="Arial"/>
          <w:b/>
          <w:bCs/>
          <w:color w:val="555555"/>
          <w:sz w:val="18"/>
          <w:szCs w:val="18"/>
        </w:rPr>
        <w:t xml:space="preserve"> 2025 </w:t>
      </w:r>
      <w:proofErr w:type="gramStart"/>
      <w:r>
        <w:rPr>
          <w:rFonts w:cs="Arial"/>
          <w:b/>
          <w:bCs/>
          <w:color w:val="555555"/>
          <w:sz w:val="18"/>
          <w:szCs w:val="18"/>
        </w:rPr>
        <w:t>AD</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 xml:space="preserve">Ongoing </w:t>
      </w:r>
      <w:r w:rsidR="00445CC5">
        <w:rPr>
          <w:rFonts w:cs="Arial"/>
          <w:b/>
          <w:bCs/>
          <w:color w:val="555555"/>
          <w:sz w:val="18"/>
          <w:szCs w:val="18"/>
        </w:rPr>
        <w:t>-</w:t>
      </w:r>
      <w:r>
        <w:rPr>
          <w:rFonts w:cs="Arial"/>
          <w:b/>
          <w:bCs/>
          <w:color w:val="555555"/>
          <w:sz w:val="18"/>
          <w:szCs w:val="18"/>
        </w:rPr>
        <w:t xml:space="preserve"> Pre-2082 BS</w:t>
      </w:r>
      <w:r>
        <w:rPr>
          <w:rFonts w:cs="Arial"/>
          <w:sz w:val="18"/>
          <w:szCs w:val="18"/>
        </w:rPr>
        <w:t xml:space="preserve">        </w:t>
      </w:r>
      <w:r>
        <w:rPr>
          <w:rFonts w:cs="Arial"/>
          <w:b/>
          <w:bCs/>
          <w:color w:val="991B1B"/>
          <w:sz w:val="18"/>
          <w:szCs w:val="18"/>
        </w:rPr>
        <w:t>◆ REGULATORY / LEGAL</w:t>
      </w:r>
    </w:p>
    <w:p w14:paraId="479F8393" w14:textId="77777777" w:rsidR="003D7881" w:rsidRDefault="00000000" w:rsidP="00445CC5">
      <w:pPr>
        <w:pBdr>
          <w:left w:val="thick" w:sz="14" w:space="10" w:color="DDDDDD"/>
        </w:pBdr>
        <w:spacing w:before="60" w:after="160"/>
        <w:ind w:left="220"/>
        <w:jc w:val="both"/>
      </w:pPr>
      <w:r>
        <w:rPr>
          <w:rFonts w:cs="Arial"/>
          <w:b/>
          <w:bCs/>
          <w:sz w:val="26"/>
          <w:szCs w:val="26"/>
        </w:rPr>
        <w:t xml:space="preserve">Institutional Land Ceiling Restrictions Strand Over Rs. 200 </w:t>
      </w:r>
      <w:proofErr w:type="gramStart"/>
      <w:r>
        <w:rPr>
          <w:rFonts w:cs="Arial"/>
          <w:b/>
          <w:bCs/>
          <w:sz w:val="26"/>
          <w:szCs w:val="26"/>
        </w:rPr>
        <w:t>Billion</w:t>
      </w:r>
      <w:proofErr w:type="gramEnd"/>
      <w:r>
        <w:rPr>
          <w:rFonts w:cs="Arial"/>
          <w:b/>
          <w:bCs/>
          <w:sz w:val="26"/>
          <w:szCs w:val="26"/>
        </w:rPr>
        <w:t xml:space="preserve"> in Housing Developer Capital, Stalling Urban Development</w:t>
      </w:r>
    </w:p>
    <w:p w14:paraId="4D87862D" w14:textId="77777777" w:rsidR="003D7881" w:rsidRDefault="00000000" w:rsidP="00445CC5">
      <w:pPr>
        <w:pBdr>
          <w:left w:val="thick" w:sz="6" w:space="10" w:color="EEEEEE"/>
        </w:pBdr>
        <w:spacing w:after="120"/>
        <w:ind w:left="220"/>
        <w:jc w:val="both"/>
      </w:pPr>
      <w:r>
        <w:rPr>
          <w:rFonts w:cs="Arial"/>
        </w:rPr>
        <w:t xml:space="preserve">Under previous iterations of the Land Act, real estate developers, housing companies, and corporate institutions were </w:t>
      </w:r>
      <w:r>
        <w:rPr>
          <w:rFonts w:cs="Arial"/>
          <w:b/>
          <w:bCs/>
        </w:rPr>
        <w:t>strictly barred from holding land beyond a prescribed limit.</w:t>
      </w:r>
      <w:r>
        <w:rPr>
          <w:rFonts w:cs="Arial"/>
        </w:rPr>
        <w:t xml:space="preserve"> Even if companies </w:t>
      </w:r>
      <w:proofErr w:type="spellStart"/>
      <w:r>
        <w:rPr>
          <w:rFonts w:cs="Arial"/>
        </w:rPr>
        <w:t>utilised</w:t>
      </w:r>
      <w:proofErr w:type="spellEnd"/>
      <w:r>
        <w:rPr>
          <w:rFonts w:cs="Arial"/>
        </w:rPr>
        <w:t xml:space="preserve"> legal loopholes to acquire land, the law restricted them from legally transferring or selling individual housing units or apartments built on that excess land to retail buyers.</w:t>
      </w:r>
      <w:hyperlink r:id="rId79" w:history="1">
        <w:r>
          <w:rPr>
            <w:rFonts w:cs="Arial"/>
            <w:color w:val="C4921A"/>
            <w:sz w:val="16"/>
            <w:szCs w:val="16"/>
            <w:u w:val="single" w:color="C4921A"/>
            <w:vertAlign w:val="superscript"/>
          </w:rPr>
          <w:t>[45]</w:t>
        </w:r>
      </w:hyperlink>
      <w:hyperlink r:id="rId80" w:history="1">
        <w:r>
          <w:rPr>
            <w:rFonts w:cs="Arial"/>
            <w:color w:val="C4921A"/>
            <w:sz w:val="16"/>
            <w:szCs w:val="16"/>
            <w:u w:val="single" w:color="C4921A"/>
            <w:vertAlign w:val="superscript"/>
          </w:rPr>
          <w:t>[46]</w:t>
        </w:r>
      </w:hyperlink>
    </w:p>
    <w:p w14:paraId="63335C24" w14:textId="77777777" w:rsidR="003D7881" w:rsidRDefault="00000000" w:rsidP="00445CC5">
      <w:pPr>
        <w:pBdr>
          <w:left w:val="thick" w:sz="6" w:space="10" w:color="EEEEEE"/>
        </w:pBdr>
        <w:spacing w:after="120"/>
        <w:ind w:left="220"/>
        <w:jc w:val="both"/>
      </w:pPr>
      <w:r>
        <w:rPr>
          <w:rFonts w:cs="Arial"/>
        </w:rPr>
        <w:lastRenderedPageBreak/>
        <w:t xml:space="preserve">According to the </w:t>
      </w:r>
      <w:r>
        <w:rPr>
          <w:rFonts w:cs="Arial"/>
          <w:b/>
          <w:bCs/>
        </w:rPr>
        <w:t>Nepal Land and Housing Developers Federation (NLHDF)</w:t>
      </w:r>
      <w:r>
        <w:rPr>
          <w:rFonts w:cs="Arial"/>
        </w:rPr>
        <w:t xml:space="preserve">, properties worth over </w:t>
      </w:r>
      <w:r>
        <w:rPr>
          <w:rFonts w:cs="Arial"/>
          <w:b/>
          <w:bCs/>
        </w:rPr>
        <w:t xml:space="preserve">Rs. 200 </w:t>
      </w:r>
      <w:proofErr w:type="gramStart"/>
      <w:r>
        <w:rPr>
          <w:rFonts w:cs="Arial"/>
          <w:b/>
          <w:bCs/>
        </w:rPr>
        <w:t>Billion</w:t>
      </w:r>
      <w:proofErr w:type="gramEnd"/>
      <w:r>
        <w:rPr>
          <w:rFonts w:cs="Arial"/>
          <w:b/>
          <w:bCs/>
        </w:rPr>
        <w:t xml:space="preserve"> were left completely idle and unsellable</w:t>
      </w:r>
      <w:r>
        <w:rPr>
          <w:rFonts w:cs="Arial"/>
        </w:rPr>
        <w:t xml:space="preserve"> due to these archaic ceiling restrictions.</w:t>
      </w:r>
      <w:hyperlink r:id="rId81" w:history="1">
        <w:r>
          <w:rPr>
            <w:rFonts w:cs="Arial"/>
            <w:color w:val="C4921A"/>
            <w:sz w:val="16"/>
            <w:szCs w:val="16"/>
            <w:u w:val="single" w:color="C4921A"/>
            <w:vertAlign w:val="superscript"/>
          </w:rPr>
          <w:t>[47]</w:t>
        </w:r>
      </w:hyperlink>
    </w:p>
    <w:p w14:paraId="4462AB38"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32846B01" w14:textId="77777777">
        <w:tblPrEx>
          <w:tblCellMar>
            <w:top w:w="0" w:type="dxa"/>
            <w:bottom w:w="0" w:type="dxa"/>
          </w:tblCellMar>
        </w:tblPrEx>
        <w:tc>
          <w:tcPr>
            <w:tcW w:w="9000" w:type="dxa"/>
            <w:tcBorders>
              <w:top w:val="none" w:sz="0" w:space="0" w:color="FFFFFF"/>
              <w:left w:val="thick" w:sz="18" w:space="0" w:color="D4813A"/>
              <w:bottom w:val="none" w:sz="0" w:space="0" w:color="FFFFFF"/>
              <w:right w:val="none" w:sz="0" w:space="0" w:color="FFFFFF"/>
            </w:tcBorders>
            <w:shd w:val="clear" w:color="auto" w:fill="FFF8F0"/>
            <w:tcMar>
              <w:top w:w="130" w:type="dxa"/>
              <w:left w:w="220" w:type="dxa"/>
              <w:bottom w:w="130" w:type="dxa"/>
              <w:right w:w="160" w:type="dxa"/>
            </w:tcMar>
          </w:tcPr>
          <w:p w14:paraId="184F4A87" w14:textId="77777777" w:rsidR="003D7881" w:rsidRDefault="00000000" w:rsidP="00445CC5">
            <w:pPr>
              <w:spacing w:after="100"/>
              <w:jc w:val="both"/>
            </w:pPr>
            <w:r>
              <w:rPr>
                <w:rFonts w:cs="Arial"/>
                <w:b/>
                <w:bCs/>
                <w:caps/>
                <w:color w:val="A0522D"/>
                <w:sz w:val="17"/>
                <w:szCs w:val="17"/>
              </w:rPr>
              <w:t>Impact</w:t>
            </w:r>
          </w:p>
          <w:p w14:paraId="34EAE5F3" w14:textId="77777777" w:rsidR="003D7881" w:rsidRDefault="00000000" w:rsidP="00445CC5">
            <w:pPr>
              <w:spacing w:after="90"/>
              <w:jc w:val="both"/>
            </w:pPr>
            <w:r>
              <w:rPr>
                <w:rFonts w:cs="Arial"/>
                <w:sz w:val="19"/>
                <w:szCs w:val="19"/>
              </w:rPr>
              <w:t xml:space="preserve">Prevented the </w:t>
            </w:r>
            <w:proofErr w:type="spellStart"/>
            <w:r>
              <w:rPr>
                <w:rFonts w:cs="Arial"/>
                <w:sz w:val="19"/>
                <w:szCs w:val="19"/>
              </w:rPr>
              <w:t>formalisation</w:t>
            </w:r>
            <w:proofErr w:type="spellEnd"/>
            <w:r>
              <w:rPr>
                <w:rFonts w:cs="Arial"/>
                <w:sz w:val="19"/>
                <w:szCs w:val="19"/>
              </w:rPr>
              <w:t xml:space="preserve"> and scaling of Nepal's </w:t>
            </w:r>
            <w:proofErr w:type="spellStart"/>
            <w:r>
              <w:rPr>
                <w:rFonts w:cs="Arial"/>
                <w:sz w:val="19"/>
                <w:szCs w:val="19"/>
              </w:rPr>
              <w:t>organised</w:t>
            </w:r>
            <w:proofErr w:type="spellEnd"/>
            <w:r>
              <w:rPr>
                <w:rFonts w:cs="Arial"/>
                <w:sz w:val="19"/>
                <w:szCs w:val="19"/>
              </w:rPr>
              <w:t xml:space="preserve"> housing development sector. Kept institutional capital completely frozen. Deepened the affordable housing supply crisis at precisely the moment when the market needed new supply most urgently.</w:t>
            </w:r>
          </w:p>
        </w:tc>
      </w:tr>
    </w:tbl>
    <w:p w14:paraId="1D09C308" w14:textId="77777777" w:rsidR="003D7881" w:rsidRDefault="003D7881" w:rsidP="00445CC5">
      <w:pPr>
        <w:spacing w:after="140"/>
        <w:jc w:val="both"/>
      </w:pPr>
    </w:p>
    <w:p w14:paraId="1A8BD031" w14:textId="77777777" w:rsidR="003D7881" w:rsidRDefault="003D7881" w:rsidP="00445CC5">
      <w:pPr>
        <w:pBdr>
          <w:bottom w:val="single" w:sz="4" w:space="1" w:color="D6D0C8"/>
        </w:pBdr>
        <w:spacing w:before="240" w:after="240"/>
        <w:jc w:val="both"/>
      </w:pPr>
    </w:p>
    <w:p w14:paraId="00BEA9D1" w14:textId="77777777" w:rsidR="003D7881" w:rsidRDefault="00000000" w:rsidP="00445CC5">
      <w:pPr>
        <w:pBdr>
          <w:left w:val="thick" w:sz="14" w:space="10" w:color="5B21B6"/>
        </w:pBdr>
        <w:spacing w:before="280" w:after="60"/>
        <w:ind w:left="220"/>
        <w:jc w:val="both"/>
      </w:pPr>
      <w:r>
        <w:rPr>
          <w:rFonts w:cs="Arial"/>
          <w:b/>
          <w:bCs/>
          <w:color w:val="555555"/>
          <w:sz w:val="18"/>
          <w:szCs w:val="18"/>
        </w:rPr>
        <w:t xml:space="preserve">Jestha 2081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May 2024 AD</w:t>
      </w:r>
      <w:r>
        <w:rPr>
          <w:rFonts w:cs="Arial"/>
          <w:sz w:val="18"/>
          <w:szCs w:val="18"/>
        </w:rPr>
        <w:t xml:space="preserve">        </w:t>
      </w:r>
      <w:r>
        <w:rPr>
          <w:rFonts w:cs="Arial"/>
          <w:b/>
          <w:bCs/>
          <w:color w:val="5B21B6"/>
          <w:sz w:val="18"/>
          <w:szCs w:val="18"/>
        </w:rPr>
        <w:t>◆ JUDICIAL</w:t>
      </w:r>
    </w:p>
    <w:p w14:paraId="2D856B61" w14:textId="102C4CFA" w:rsidR="003D7881" w:rsidRDefault="00000000" w:rsidP="00445CC5">
      <w:pPr>
        <w:pBdr>
          <w:left w:val="thick" w:sz="14" w:space="10" w:color="DDDDDD"/>
        </w:pBdr>
        <w:spacing w:before="60" w:after="160"/>
        <w:ind w:left="220"/>
        <w:jc w:val="both"/>
      </w:pPr>
      <w:r>
        <w:rPr>
          <w:rFonts w:cs="Arial"/>
          <w:b/>
          <w:bCs/>
          <w:sz w:val="26"/>
          <w:szCs w:val="26"/>
        </w:rPr>
        <w:t xml:space="preserve">Supreme Court Bans Distribution of National Park &amp; Forest Land </w:t>
      </w:r>
      <w:r w:rsidR="00445CC5">
        <w:rPr>
          <w:rFonts w:cs="Arial"/>
          <w:b/>
          <w:bCs/>
          <w:sz w:val="26"/>
          <w:szCs w:val="26"/>
        </w:rPr>
        <w:t>-</w:t>
      </w:r>
      <w:r>
        <w:rPr>
          <w:rFonts w:cs="Arial"/>
          <w:b/>
          <w:bCs/>
          <w:sz w:val="26"/>
          <w:szCs w:val="26"/>
        </w:rPr>
        <w:t xml:space="preserve"> Blocks Politically Motivated Land Titling for Landless</w:t>
      </w:r>
    </w:p>
    <w:p w14:paraId="72752168" w14:textId="77777777" w:rsidR="003D7881" w:rsidRDefault="00000000" w:rsidP="00445CC5">
      <w:pPr>
        <w:pBdr>
          <w:left w:val="thick" w:sz="6" w:space="10" w:color="EEEEEE"/>
        </w:pBdr>
        <w:spacing w:after="120"/>
        <w:ind w:left="220"/>
        <w:jc w:val="both"/>
      </w:pPr>
      <w:r>
        <w:rPr>
          <w:rFonts w:cs="Arial"/>
        </w:rPr>
        <w:t xml:space="preserve">The Supreme Court strictly decreed that the federal government could not distribute land situated within </w:t>
      </w:r>
      <w:r>
        <w:rPr>
          <w:rFonts w:cs="Arial"/>
          <w:b/>
          <w:bCs/>
        </w:rPr>
        <w:t>national parks and forest areas</w:t>
      </w:r>
      <w:r>
        <w:rPr>
          <w:rFonts w:cs="Arial"/>
        </w:rPr>
        <w:t xml:space="preserve"> to landless individuals or squatters. This ruling strictly enforced the provisions of the Forest Act and effectively crippled politically motivated efforts to formally title encroached public lands.</w:t>
      </w:r>
      <w:hyperlink r:id="rId82" w:history="1">
        <w:r>
          <w:rPr>
            <w:rFonts w:cs="Arial"/>
            <w:color w:val="C4921A"/>
            <w:sz w:val="16"/>
            <w:szCs w:val="16"/>
            <w:u w:val="single" w:color="C4921A"/>
            <w:vertAlign w:val="superscript"/>
          </w:rPr>
          <w:t>[53]</w:t>
        </w:r>
      </w:hyperlink>
    </w:p>
    <w:p w14:paraId="128F8ED4" w14:textId="0B06710D" w:rsidR="003D7881" w:rsidRDefault="00000000" w:rsidP="00445CC5">
      <w:pPr>
        <w:pBdr>
          <w:left w:val="thick" w:sz="6" w:space="10" w:color="EEEEEE"/>
        </w:pBdr>
        <w:spacing w:after="120"/>
        <w:ind w:left="220"/>
        <w:jc w:val="both"/>
      </w:pPr>
      <w:r>
        <w:rPr>
          <w:rFonts w:cs="Arial"/>
        </w:rPr>
        <w:t xml:space="preserve">The Court had also previously ordered the revocation of the government's highly controversial decision to dissolve the Land Commission </w:t>
      </w:r>
      <w:r w:rsidR="00445CC5">
        <w:rPr>
          <w:rFonts w:cs="Arial"/>
        </w:rPr>
        <w:t>-</w:t>
      </w:r>
      <w:r>
        <w:rPr>
          <w:rFonts w:cs="Arial"/>
        </w:rPr>
        <w:t xml:space="preserve"> highlighting intense judicial oversight of all land distribution mechanisms.</w:t>
      </w:r>
      <w:hyperlink r:id="rId83" w:history="1">
        <w:r>
          <w:rPr>
            <w:rFonts w:cs="Arial"/>
            <w:color w:val="C4921A"/>
            <w:sz w:val="16"/>
            <w:szCs w:val="16"/>
            <w:u w:val="single" w:color="C4921A"/>
            <w:vertAlign w:val="superscript"/>
          </w:rPr>
          <w:t>[54]</w:t>
        </w:r>
      </w:hyperlink>
      <w:hyperlink r:id="rId84" w:history="1">
        <w:r>
          <w:rPr>
            <w:rFonts w:cs="Arial"/>
            <w:color w:val="C4921A"/>
            <w:sz w:val="16"/>
            <w:szCs w:val="16"/>
            <w:u w:val="single" w:color="C4921A"/>
            <w:vertAlign w:val="superscript"/>
          </w:rPr>
          <w:t>[55]</w:t>
        </w:r>
      </w:hyperlink>
    </w:p>
    <w:p w14:paraId="2867166F"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5AF6298E" w14:textId="77777777">
        <w:tblPrEx>
          <w:tblCellMar>
            <w:top w:w="0" w:type="dxa"/>
            <w:bottom w:w="0" w:type="dxa"/>
          </w:tblCellMar>
        </w:tblPrEx>
        <w:tc>
          <w:tcPr>
            <w:tcW w:w="9000" w:type="dxa"/>
            <w:tcBorders>
              <w:top w:val="none" w:sz="0" w:space="0" w:color="FFFFFF"/>
              <w:left w:val="thick" w:sz="18" w:space="0" w:color="D4813A"/>
              <w:bottom w:val="none" w:sz="0" w:space="0" w:color="FFFFFF"/>
              <w:right w:val="none" w:sz="0" w:space="0" w:color="FFFFFF"/>
            </w:tcBorders>
            <w:shd w:val="clear" w:color="auto" w:fill="FFF8F0"/>
            <w:tcMar>
              <w:top w:w="130" w:type="dxa"/>
              <w:left w:w="220" w:type="dxa"/>
              <w:bottom w:w="130" w:type="dxa"/>
              <w:right w:w="160" w:type="dxa"/>
            </w:tcMar>
          </w:tcPr>
          <w:p w14:paraId="15D47BBD" w14:textId="77777777" w:rsidR="003D7881" w:rsidRDefault="00000000" w:rsidP="00445CC5">
            <w:pPr>
              <w:spacing w:after="100"/>
              <w:jc w:val="both"/>
            </w:pPr>
            <w:r>
              <w:rPr>
                <w:rFonts w:cs="Arial"/>
                <w:b/>
                <w:bCs/>
                <w:caps/>
                <w:color w:val="A0522D"/>
                <w:sz w:val="17"/>
                <w:szCs w:val="17"/>
              </w:rPr>
              <w:t>Impact</w:t>
            </w:r>
          </w:p>
          <w:p w14:paraId="139BCC38" w14:textId="77777777" w:rsidR="003D7881" w:rsidRDefault="00000000" w:rsidP="00445CC5">
            <w:pPr>
              <w:spacing w:after="90"/>
              <w:jc w:val="both"/>
            </w:pPr>
            <w:r>
              <w:rPr>
                <w:rFonts w:cs="Arial"/>
                <w:sz w:val="19"/>
                <w:szCs w:val="19"/>
              </w:rPr>
              <w:t>Protected Nepal's ecological domain from encroachment but left the squatter and landless issue politically unresolved. Established environmental conservation as a supreme judicial priority above political expediency and development ambitions.</w:t>
            </w:r>
          </w:p>
        </w:tc>
      </w:tr>
    </w:tbl>
    <w:p w14:paraId="30A502AE" w14:textId="77777777" w:rsidR="003D7881" w:rsidRDefault="003D7881" w:rsidP="00445CC5">
      <w:pPr>
        <w:spacing w:after="140"/>
        <w:jc w:val="both"/>
      </w:pPr>
    </w:p>
    <w:p w14:paraId="45649BBC" w14:textId="77777777" w:rsidR="003D7881" w:rsidRDefault="003D7881" w:rsidP="00445CC5">
      <w:pPr>
        <w:pBdr>
          <w:bottom w:val="single" w:sz="4" w:space="1" w:color="D6D0C8"/>
        </w:pBdr>
        <w:spacing w:before="240" w:after="240"/>
        <w:jc w:val="both"/>
      </w:pPr>
    </w:p>
    <w:p w14:paraId="3FB762EC" w14:textId="77777777" w:rsidR="003D7881" w:rsidRDefault="00000000" w:rsidP="00445CC5">
      <w:pPr>
        <w:pBdr>
          <w:left w:val="thick" w:sz="14" w:space="10" w:color="991B1B"/>
        </w:pBdr>
        <w:spacing w:before="280" w:after="60"/>
        <w:ind w:left="220"/>
        <w:jc w:val="both"/>
      </w:pPr>
      <w:r>
        <w:rPr>
          <w:rFonts w:cs="Arial"/>
          <w:b/>
          <w:bCs/>
          <w:color w:val="555555"/>
          <w:sz w:val="18"/>
          <w:szCs w:val="18"/>
        </w:rPr>
        <w:t xml:space="preserve">Bhadra 2081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August 2024 AD</w:t>
      </w:r>
      <w:r>
        <w:rPr>
          <w:rFonts w:cs="Arial"/>
          <w:sz w:val="18"/>
          <w:szCs w:val="18"/>
        </w:rPr>
        <w:t xml:space="preserve">        </w:t>
      </w:r>
      <w:r>
        <w:rPr>
          <w:rFonts w:cs="Arial"/>
          <w:b/>
          <w:bCs/>
          <w:color w:val="991B1B"/>
          <w:sz w:val="18"/>
          <w:szCs w:val="18"/>
        </w:rPr>
        <w:t>◆ REGULATORY / LEGAL</w:t>
      </w:r>
    </w:p>
    <w:p w14:paraId="795AD996" w14:textId="539DA7AC" w:rsidR="003D7881" w:rsidRDefault="00000000" w:rsidP="00445CC5">
      <w:pPr>
        <w:pBdr>
          <w:left w:val="thick" w:sz="14" w:space="10" w:color="DDDDDD"/>
        </w:pBdr>
        <w:spacing w:before="60" w:after="160"/>
        <w:ind w:left="220"/>
        <w:jc w:val="both"/>
      </w:pPr>
      <w:r>
        <w:rPr>
          <w:rFonts w:cs="Arial"/>
          <w:b/>
          <w:bCs/>
          <w:sz w:val="26"/>
          <w:szCs w:val="26"/>
        </w:rPr>
        <w:t xml:space="preserve">Second Amendment to Land Use Regulation </w:t>
      </w:r>
      <w:r w:rsidR="00445CC5">
        <w:rPr>
          <w:rFonts w:cs="Arial"/>
          <w:b/>
          <w:bCs/>
          <w:sz w:val="26"/>
          <w:szCs w:val="26"/>
        </w:rPr>
        <w:t>-</w:t>
      </w:r>
      <w:r>
        <w:rPr>
          <w:rFonts w:cs="Arial"/>
          <w:b/>
          <w:bCs/>
          <w:sz w:val="26"/>
          <w:szCs w:val="26"/>
        </w:rPr>
        <w:t xml:space="preserve"> Another Deadline Extension; ~500 Municipalities Still Unclassified</w:t>
      </w:r>
    </w:p>
    <w:p w14:paraId="2D5A583D" w14:textId="5BEB332C" w:rsidR="003D7881" w:rsidRDefault="00000000" w:rsidP="00445CC5">
      <w:pPr>
        <w:pBdr>
          <w:left w:val="thick" w:sz="6" w:space="10" w:color="EEEEEE"/>
        </w:pBdr>
        <w:spacing w:after="120"/>
        <w:ind w:left="220"/>
        <w:jc w:val="both"/>
      </w:pPr>
      <w:r>
        <w:rPr>
          <w:rFonts w:cs="Arial"/>
        </w:rPr>
        <w:t xml:space="preserve">The federal government issued the </w:t>
      </w:r>
      <w:r>
        <w:rPr>
          <w:rFonts w:cs="Arial"/>
          <w:b/>
          <w:bCs/>
        </w:rPr>
        <w:t>second amendment</w:t>
      </w:r>
      <w:r>
        <w:rPr>
          <w:rFonts w:cs="Arial"/>
        </w:rPr>
        <w:t xml:space="preserve"> in August 2024, granting yet another deadline extension for land classification. Despite this, approximately </w:t>
      </w:r>
      <w:r>
        <w:rPr>
          <w:rFonts w:cs="Arial"/>
          <w:b/>
          <w:bCs/>
        </w:rPr>
        <w:t>500 municipalities had still failed to completely classify their land</w:t>
      </w:r>
      <w:r>
        <w:rPr>
          <w:rFonts w:cs="Arial"/>
        </w:rPr>
        <w:t xml:space="preserve"> </w:t>
      </w:r>
      <w:r w:rsidR="00445CC5">
        <w:rPr>
          <w:rFonts w:cs="Arial"/>
        </w:rPr>
        <w:t>-</w:t>
      </w:r>
      <w:r>
        <w:rPr>
          <w:rFonts w:cs="Arial"/>
        </w:rPr>
        <w:t xml:space="preserve"> keeping the majority of the nation's real estate market in a state of indefinite, legally mandated suspension.</w:t>
      </w:r>
      <w:hyperlink r:id="rId85" w:history="1">
        <w:r>
          <w:rPr>
            <w:rFonts w:cs="Arial"/>
            <w:color w:val="C4921A"/>
            <w:sz w:val="16"/>
            <w:szCs w:val="16"/>
            <w:u w:val="single" w:color="C4921A"/>
            <w:vertAlign w:val="superscript"/>
          </w:rPr>
          <w:t>[31]</w:t>
        </w:r>
      </w:hyperlink>
      <w:hyperlink r:id="rId86" w:history="1">
        <w:r>
          <w:rPr>
            <w:rFonts w:cs="Arial"/>
            <w:color w:val="C4921A"/>
            <w:sz w:val="16"/>
            <w:szCs w:val="16"/>
            <w:u w:val="single" w:color="C4921A"/>
            <w:vertAlign w:val="superscript"/>
          </w:rPr>
          <w:t>[32]</w:t>
        </w:r>
      </w:hyperlink>
    </w:p>
    <w:p w14:paraId="7DF7E2AA"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734C3549" w14:textId="77777777">
        <w:tblPrEx>
          <w:tblCellMar>
            <w:top w:w="0" w:type="dxa"/>
            <w:bottom w:w="0" w:type="dxa"/>
          </w:tblCellMar>
        </w:tblPrEx>
        <w:tc>
          <w:tcPr>
            <w:tcW w:w="9000" w:type="dxa"/>
            <w:tcBorders>
              <w:top w:val="none" w:sz="0" w:space="0" w:color="FFFFFF"/>
              <w:left w:val="thick" w:sz="18" w:space="0" w:color="D4813A"/>
              <w:bottom w:val="none" w:sz="0" w:space="0" w:color="FFFFFF"/>
              <w:right w:val="none" w:sz="0" w:space="0" w:color="FFFFFF"/>
            </w:tcBorders>
            <w:shd w:val="clear" w:color="auto" w:fill="FFF8F0"/>
            <w:tcMar>
              <w:top w:w="130" w:type="dxa"/>
              <w:left w:w="220" w:type="dxa"/>
              <w:bottom w:w="130" w:type="dxa"/>
              <w:right w:w="160" w:type="dxa"/>
            </w:tcMar>
          </w:tcPr>
          <w:p w14:paraId="29BF910A" w14:textId="77777777" w:rsidR="003D7881" w:rsidRDefault="00000000" w:rsidP="00445CC5">
            <w:pPr>
              <w:spacing w:after="100"/>
              <w:jc w:val="both"/>
            </w:pPr>
            <w:r>
              <w:rPr>
                <w:rFonts w:cs="Arial"/>
                <w:b/>
                <w:bCs/>
                <w:caps/>
                <w:color w:val="A0522D"/>
                <w:sz w:val="17"/>
                <w:szCs w:val="17"/>
              </w:rPr>
              <w:t>Impact</w:t>
            </w:r>
          </w:p>
          <w:p w14:paraId="352BFB15" w14:textId="77777777" w:rsidR="003D7881" w:rsidRDefault="00000000" w:rsidP="00445CC5">
            <w:pPr>
              <w:spacing w:after="90"/>
              <w:jc w:val="both"/>
            </w:pPr>
            <w:r>
              <w:rPr>
                <w:rFonts w:cs="Arial"/>
                <w:sz w:val="19"/>
                <w:szCs w:val="19"/>
              </w:rPr>
              <w:t xml:space="preserve">Confirmed that the administrative failure was </w:t>
            </w:r>
            <w:r>
              <w:rPr>
                <w:rFonts w:cs="Arial"/>
                <w:b/>
                <w:bCs/>
                <w:sz w:val="19"/>
                <w:szCs w:val="19"/>
              </w:rPr>
              <w:t>structural and systemic</w:t>
            </w:r>
            <w:r>
              <w:rPr>
                <w:rFonts w:cs="Arial"/>
                <w:sz w:val="19"/>
                <w:szCs w:val="19"/>
              </w:rPr>
              <w:t>, not temporary. The pattern of repeated extensions without technical capacity-building demonstrated governmental inability to resolve the root cause. A third, more drastic intervention would ultimately be required.</w:t>
            </w:r>
          </w:p>
        </w:tc>
      </w:tr>
    </w:tbl>
    <w:p w14:paraId="4DA5177F" w14:textId="77777777" w:rsidR="003D7881" w:rsidRDefault="003D7881" w:rsidP="00445CC5">
      <w:pPr>
        <w:spacing w:after="140"/>
        <w:jc w:val="both"/>
      </w:pPr>
    </w:p>
    <w:p w14:paraId="51834538" w14:textId="77777777" w:rsidR="003D7881" w:rsidRDefault="003D7881" w:rsidP="00445CC5">
      <w:pPr>
        <w:pBdr>
          <w:bottom w:val="single" w:sz="4" w:space="1" w:color="D6D0C8"/>
        </w:pBdr>
        <w:spacing w:before="240" w:after="240"/>
        <w:jc w:val="both"/>
      </w:pPr>
    </w:p>
    <w:p w14:paraId="34034644" w14:textId="77777777" w:rsidR="003D7881" w:rsidRDefault="00000000" w:rsidP="00445CC5">
      <w:pPr>
        <w:pBdr>
          <w:left w:val="thick" w:sz="14" w:space="10" w:color="92400E"/>
        </w:pBdr>
        <w:spacing w:before="280" w:after="60"/>
        <w:ind w:left="220"/>
        <w:jc w:val="both"/>
      </w:pPr>
      <w:r>
        <w:rPr>
          <w:rFonts w:cs="Arial"/>
          <w:b/>
          <w:bCs/>
          <w:color w:val="555555"/>
          <w:sz w:val="18"/>
          <w:szCs w:val="18"/>
        </w:rPr>
        <w:t xml:space="preserve">Baseline: FY 2020/21 | </w:t>
      </w:r>
      <w:proofErr w:type="gramStart"/>
      <w:r>
        <w:rPr>
          <w:rFonts w:cs="Arial"/>
          <w:b/>
          <w:bCs/>
          <w:color w:val="555555"/>
          <w:sz w:val="18"/>
          <w:szCs w:val="18"/>
        </w:rPr>
        <w:t>Ongoing</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Baseline: 2077/78 BS | Ongoing</w:t>
      </w:r>
      <w:r>
        <w:rPr>
          <w:rFonts w:cs="Arial"/>
          <w:sz w:val="18"/>
          <w:szCs w:val="18"/>
        </w:rPr>
        <w:t xml:space="preserve">        </w:t>
      </w:r>
      <w:r>
        <w:rPr>
          <w:rFonts w:cs="Arial"/>
          <w:b/>
          <w:bCs/>
          <w:color w:val="92400E"/>
          <w:sz w:val="18"/>
          <w:szCs w:val="18"/>
        </w:rPr>
        <w:t>◆ FINANCIAL / BANKING</w:t>
      </w:r>
    </w:p>
    <w:p w14:paraId="7CAB7F22" w14:textId="77777777" w:rsidR="003D7881" w:rsidRDefault="00000000" w:rsidP="00445CC5">
      <w:pPr>
        <w:pBdr>
          <w:left w:val="thick" w:sz="14" w:space="10" w:color="DDDDDD"/>
        </w:pBdr>
        <w:spacing w:before="60" w:after="160"/>
        <w:ind w:left="220"/>
        <w:jc w:val="both"/>
      </w:pPr>
      <w:r>
        <w:rPr>
          <w:rFonts w:cs="Arial"/>
          <w:b/>
          <w:bCs/>
          <w:sz w:val="26"/>
          <w:szCs w:val="26"/>
        </w:rPr>
        <w:lastRenderedPageBreak/>
        <w:t>NRB Initiates Residential Real Estate Price Index (RREPI) to Combat Systemic Valuation Opacity and the "Valuation Gap"</w:t>
      </w:r>
    </w:p>
    <w:p w14:paraId="5A3932C9" w14:textId="77777777" w:rsidR="003D7881" w:rsidRDefault="00000000" w:rsidP="00445CC5">
      <w:pPr>
        <w:pBdr>
          <w:left w:val="thick" w:sz="6" w:space="10" w:color="EEEEEE"/>
        </w:pBdr>
        <w:spacing w:after="120"/>
        <w:ind w:left="220"/>
        <w:jc w:val="both"/>
      </w:pPr>
      <w:r>
        <w:rPr>
          <w:rFonts w:cs="Arial"/>
        </w:rPr>
        <w:t xml:space="preserve">To combat systemic opacity in Nepal's high-demand, low-supply real estate environment, the NRB initiated the </w:t>
      </w:r>
      <w:r>
        <w:rPr>
          <w:rFonts w:cs="Arial"/>
          <w:b/>
          <w:bCs/>
        </w:rPr>
        <w:t>Residential Real Estate Price Index (RREPI)</w:t>
      </w:r>
      <w:r>
        <w:rPr>
          <w:rFonts w:cs="Arial"/>
        </w:rPr>
        <w:t xml:space="preserve"> using FY 2020/21 as a baseline.</w:t>
      </w:r>
      <w:hyperlink r:id="rId87" w:history="1">
        <w:r>
          <w:rPr>
            <w:rFonts w:cs="Arial"/>
            <w:color w:val="C4921A"/>
            <w:sz w:val="16"/>
            <w:szCs w:val="16"/>
            <w:u w:val="single" w:color="C4921A"/>
            <w:vertAlign w:val="superscript"/>
          </w:rPr>
          <w:t>[62]</w:t>
        </w:r>
      </w:hyperlink>
      <w:r>
        <w:rPr>
          <w:rFonts w:cs="Arial"/>
        </w:rPr>
        <w:t xml:space="preserve"> Regional data reveals distinct geographic dynamics: Madhesh Province consistently leads in total transaction volume (primarily large agricultural plots &gt;20 </w:t>
      </w:r>
      <w:proofErr w:type="spellStart"/>
      <w:r>
        <w:rPr>
          <w:rFonts w:cs="Arial"/>
        </w:rPr>
        <w:t>aana</w:t>
      </w:r>
      <w:proofErr w:type="spellEnd"/>
      <w:r>
        <w:rPr>
          <w:rFonts w:cs="Arial"/>
        </w:rPr>
        <w:t>); Bagmati Province commands the highest absolute declared monetary value.</w:t>
      </w:r>
      <w:hyperlink r:id="rId88" w:history="1">
        <w:r>
          <w:rPr>
            <w:rFonts w:cs="Arial"/>
            <w:color w:val="C4921A"/>
            <w:sz w:val="16"/>
            <w:szCs w:val="16"/>
            <w:u w:val="single" w:color="C4921A"/>
            <w:vertAlign w:val="superscript"/>
          </w:rPr>
          <w:t>[1]</w:t>
        </w:r>
      </w:hyperlink>
    </w:p>
    <w:p w14:paraId="5F5E3763" w14:textId="31B923CD" w:rsidR="003D7881" w:rsidRDefault="00000000" w:rsidP="00445CC5">
      <w:pPr>
        <w:pBdr>
          <w:left w:val="thick" w:sz="6" w:space="10" w:color="EEEEEE"/>
        </w:pBdr>
        <w:spacing w:after="120"/>
        <w:ind w:left="220"/>
        <w:jc w:val="both"/>
      </w:pPr>
      <w:r>
        <w:rPr>
          <w:rFonts w:cs="Arial"/>
          <w:b/>
          <w:bCs/>
        </w:rPr>
        <w:t>The Critical Valuation Gap:</w:t>
      </w:r>
      <w:r>
        <w:rPr>
          <w:rFonts w:cs="Arial"/>
        </w:rPr>
        <w:t xml:space="preserve"> Due to punitive capital gains taxes and steep registration fees, buyers and sellers routinely conspire to drastically </w:t>
      </w:r>
      <w:r>
        <w:rPr>
          <w:rFonts w:cs="Arial"/>
          <w:b/>
          <w:bCs/>
        </w:rPr>
        <w:t>underreport the transaction value at the Land Revenue Office</w:t>
      </w:r>
      <w:r>
        <w:rPr>
          <w:rFonts w:cs="Arial"/>
        </w:rPr>
        <w:t xml:space="preserve"> </w:t>
      </w:r>
      <w:r w:rsidR="00445CC5">
        <w:rPr>
          <w:rFonts w:cs="Arial"/>
        </w:rPr>
        <w:t>-</w:t>
      </w:r>
      <w:r>
        <w:rPr>
          <w:rFonts w:cs="Arial"/>
        </w:rPr>
        <w:t xml:space="preserve"> the "</w:t>
      </w:r>
      <w:proofErr w:type="spellStart"/>
      <w:r>
        <w:rPr>
          <w:rFonts w:cs="Arial"/>
        </w:rPr>
        <w:t>Thaili</w:t>
      </w:r>
      <w:proofErr w:type="spellEnd"/>
      <w:r>
        <w:rPr>
          <w:rFonts w:cs="Arial"/>
        </w:rPr>
        <w:t xml:space="preserve"> amount." The NRB explicitly noted that official records </w:t>
      </w:r>
      <w:r>
        <w:rPr>
          <w:rFonts w:cs="Arial"/>
          <w:b/>
          <w:bCs/>
        </w:rPr>
        <w:t>severely underreport</w:t>
      </w:r>
      <w:r>
        <w:rPr>
          <w:rFonts w:cs="Arial"/>
        </w:rPr>
        <w:t xml:space="preserve"> the actual market clearing prices at which cash changes hands.</w:t>
      </w:r>
      <w:hyperlink r:id="rId89" w:history="1">
        <w:r>
          <w:rPr>
            <w:rFonts w:cs="Arial"/>
            <w:color w:val="C4921A"/>
            <w:sz w:val="16"/>
            <w:szCs w:val="16"/>
            <w:u w:val="single" w:color="C4921A"/>
            <w:vertAlign w:val="superscript"/>
          </w:rPr>
          <w:t>[62]</w:t>
        </w:r>
      </w:hyperlink>
      <w:r>
        <w:rPr>
          <w:rFonts w:cs="Arial"/>
        </w:rPr>
        <w:t xml:space="preserve"> This obfuscation: (1) obscures true macroeconomic wealth held by citizens; (2) complicates commercial banks' ability to accurately mark their vast collateral portfolios to market; (3) starves the government of billions in legitimate tax revenue.</w:t>
      </w:r>
    </w:p>
    <w:p w14:paraId="3C7FC029" w14:textId="77777777" w:rsidR="003D7881" w:rsidRDefault="003D7881" w:rsidP="00445CC5">
      <w:pPr>
        <w:spacing w:after="140"/>
        <w:jc w:val="both"/>
      </w:pPr>
    </w:p>
    <w:p w14:paraId="0BFBADA7" w14:textId="77777777" w:rsidR="003D7881" w:rsidRDefault="003D7881" w:rsidP="00445CC5">
      <w:pPr>
        <w:pBdr>
          <w:bottom w:val="single" w:sz="4" w:space="1" w:color="D6D0C8"/>
        </w:pBdr>
        <w:spacing w:before="240" w:after="240"/>
        <w:jc w:val="both"/>
      </w:pPr>
    </w:p>
    <w:p w14:paraId="5141A174" w14:textId="435CE6D1" w:rsidR="003D7881" w:rsidRDefault="00000000" w:rsidP="00445CC5">
      <w:pPr>
        <w:shd w:val="clear" w:color="auto" w:fill="2C2C2C"/>
        <w:spacing w:before="440"/>
        <w:ind w:left="200" w:right="200"/>
        <w:jc w:val="both"/>
      </w:pPr>
      <w:r>
        <w:rPr>
          <w:rFonts w:cs="Arial"/>
          <w:b/>
          <w:bCs/>
          <w:color w:val="FFFFFF"/>
          <w:sz w:val="26"/>
          <w:szCs w:val="26"/>
        </w:rPr>
        <w:t xml:space="preserve">PHASE V </w:t>
      </w:r>
      <w:r w:rsidR="00445CC5">
        <w:rPr>
          <w:rFonts w:cs="Arial"/>
          <w:b/>
          <w:bCs/>
          <w:color w:val="FFFFFF"/>
          <w:sz w:val="26"/>
          <w:szCs w:val="26"/>
        </w:rPr>
        <w:t>-</w:t>
      </w:r>
      <w:r>
        <w:rPr>
          <w:rFonts w:cs="Arial"/>
          <w:b/>
          <w:bCs/>
          <w:color w:val="FFFFFF"/>
          <w:sz w:val="26"/>
          <w:szCs w:val="26"/>
        </w:rPr>
        <w:t xml:space="preserve"> AML Pressure, Judicial Activism &amp; The Path to Recovery</w:t>
      </w:r>
    </w:p>
    <w:p w14:paraId="5DDBCB69" w14:textId="77777777" w:rsidR="003D7881" w:rsidRDefault="00000000" w:rsidP="00445CC5">
      <w:pPr>
        <w:shd w:val="clear" w:color="auto" w:fill="2C2C2C"/>
        <w:spacing w:after="320"/>
        <w:ind w:left="200" w:right="200"/>
        <w:jc w:val="both"/>
      </w:pPr>
      <w:r>
        <w:rPr>
          <w:rFonts w:cs="Arial"/>
          <w:i/>
          <w:iCs/>
          <w:color w:val="D4C5A8"/>
          <w:sz w:val="19"/>
          <w:szCs w:val="19"/>
        </w:rPr>
        <w:t>2025 – 2026   ·   2081–2082 BS</w:t>
      </w:r>
    </w:p>
    <w:p w14:paraId="5417670A" w14:textId="77777777" w:rsidR="003D7881" w:rsidRDefault="00000000" w:rsidP="00445CC5">
      <w:pPr>
        <w:pBdr>
          <w:left w:val="thick" w:sz="14" w:space="10" w:color="7C2D12"/>
        </w:pBdr>
        <w:spacing w:before="280" w:after="60"/>
        <w:ind w:left="220"/>
        <w:jc w:val="both"/>
      </w:pPr>
      <w:r>
        <w:rPr>
          <w:rFonts w:cs="Arial"/>
          <w:b/>
          <w:bCs/>
          <w:color w:val="555555"/>
          <w:sz w:val="18"/>
          <w:szCs w:val="18"/>
        </w:rPr>
        <w:t xml:space="preserve">Early 2081/82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Early 2025 AD</w:t>
      </w:r>
      <w:r>
        <w:rPr>
          <w:rFonts w:cs="Arial"/>
          <w:sz w:val="18"/>
          <w:szCs w:val="18"/>
        </w:rPr>
        <w:t xml:space="preserve">        </w:t>
      </w:r>
      <w:r>
        <w:rPr>
          <w:rFonts w:cs="Arial"/>
          <w:b/>
          <w:bCs/>
          <w:color w:val="7C2D12"/>
          <w:sz w:val="18"/>
          <w:szCs w:val="18"/>
        </w:rPr>
        <w:t>◆ AML / COMPLIANCE</w:t>
      </w:r>
    </w:p>
    <w:p w14:paraId="20D8DA0E" w14:textId="1EC06A12" w:rsidR="003D7881" w:rsidRDefault="00000000" w:rsidP="00445CC5">
      <w:pPr>
        <w:pBdr>
          <w:left w:val="thick" w:sz="14" w:space="10" w:color="DDDDDD"/>
        </w:pBdr>
        <w:spacing w:before="60" w:after="160"/>
        <w:ind w:left="220"/>
        <w:jc w:val="both"/>
      </w:pPr>
      <w:r>
        <w:rPr>
          <w:rFonts w:cs="Arial"/>
          <w:b/>
          <w:bCs/>
          <w:sz w:val="26"/>
          <w:szCs w:val="26"/>
        </w:rPr>
        <w:t xml:space="preserve">FATF Places Nepal on "Grey List" </w:t>
      </w:r>
      <w:r w:rsidR="00445CC5">
        <w:rPr>
          <w:rFonts w:cs="Arial"/>
          <w:b/>
          <w:bCs/>
          <w:sz w:val="26"/>
          <w:szCs w:val="26"/>
        </w:rPr>
        <w:t>-</w:t>
      </w:r>
      <w:r>
        <w:rPr>
          <w:rFonts w:cs="Arial"/>
          <w:b/>
          <w:bCs/>
          <w:sz w:val="26"/>
          <w:szCs w:val="26"/>
        </w:rPr>
        <w:t xml:space="preserve"> Explicitly Cites Inadequate Regulation of Cooperatives and Real Estate</w:t>
      </w:r>
    </w:p>
    <w:p w14:paraId="3A320262" w14:textId="53711057" w:rsidR="003D7881" w:rsidRDefault="00000000" w:rsidP="00445CC5">
      <w:pPr>
        <w:pBdr>
          <w:left w:val="thick" w:sz="6" w:space="10" w:color="EEEEEE"/>
        </w:pBdr>
        <w:spacing w:after="120"/>
        <w:ind w:left="220"/>
        <w:jc w:val="both"/>
      </w:pPr>
      <w:r>
        <w:rPr>
          <w:rFonts w:cs="Arial"/>
        </w:rPr>
        <w:t xml:space="preserve">The Financial Action Task Force (FATF) </w:t>
      </w:r>
      <w:r w:rsidR="00445CC5">
        <w:rPr>
          <w:rFonts w:cs="Arial"/>
        </w:rPr>
        <w:t>-</w:t>
      </w:r>
      <w:r>
        <w:rPr>
          <w:rFonts w:cs="Arial"/>
        </w:rPr>
        <w:t xml:space="preserve"> the global money laundering and terrorist financing watchdog </w:t>
      </w:r>
      <w:r w:rsidR="00445CC5">
        <w:rPr>
          <w:rFonts w:cs="Arial"/>
        </w:rPr>
        <w:t>-</w:t>
      </w:r>
      <w:r>
        <w:rPr>
          <w:rFonts w:cs="Arial"/>
        </w:rPr>
        <w:t xml:space="preserve"> placed Nepal on its </w:t>
      </w:r>
      <w:r>
        <w:rPr>
          <w:rFonts w:cs="Arial"/>
          <w:b/>
          <w:bCs/>
        </w:rPr>
        <w:t>Grey List (Jurisdictions under Increased Monitoring)</w:t>
      </w:r>
      <w:r>
        <w:rPr>
          <w:rFonts w:cs="Arial"/>
        </w:rPr>
        <w:t xml:space="preserve"> in early 2025, following a rigorous mutual evaluation.</w:t>
      </w:r>
      <w:hyperlink r:id="rId90" w:history="1">
        <w:r>
          <w:rPr>
            <w:rFonts w:cs="Arial"/>
            <w:color w:val="C4921A"/>
            <w:sz w:val="16"/>
            <w:szCs w:val="16"/>
            <w:u w:val="single" w:color="C4921A"/>
            <w:vertAlign w:val="superscript"/>
          </w:rPr>
          <w:t>[37]</w:t>
        </w:r>
      </w:hyperlink>
    </w:p>
    <w:p w14:paraId="2B924564" w14:textId="77777777" w:rsidR="003D7881" w:rsidRDefault="00000000" w:rsidP="00445CC5">
      <w:pPr>
        <w:pBdr>
          <w:left w:val="thick" w:sz="6" w:space="10" w:color="EEEEEE"/>
        </w:pBdr>
        <w:spacing w:after="120"/>
        <w:ind w:left="220"/>
        <w:jc w:val="both"/>
      </w:pPr>
      <w:r>
        <w:rPr>
          <w:rFonts w:cs="Arial"/>
        </w:rPr>
        <w:t xml:space="preserve">FATF explicitly cited strategic deficiencies in Nepal's AML/CFT framework, </w:t>
      </w:r>
      <w:r>
        <w:rPr>
          <w:rFonts w:cs="Arial"/>
          <w:b/>
          <w:bCs/>
        </w:rPr>
        <w:t>specifically calling out cooperatives and real estate by name</w:t>
      </w:r>
      <w:r>
        <w:rPr>
          <w:rFonts w:cs="Arial"/>
        </w:rPr>
        <w:t xml:space="preserve"> as grossly inadequately regulated, monitored, and supervised high-risk sectors.</w:t>
      </w:r>
      <w:hyperlink r:id="rId91" w:history="1">
        <w:r>
          <w:rPr>
            <w:rFonts w:cs="Arial"/>
            <w:color w:val="C4921A"/>
            <w:sz w:val="16"/>
            <w:szCs w:val="16"/>
            <w:u w:val="single" w:color="C4921A"/>
            <w:vertAlign w:val="superscript"/>
          </w:rPr>
          <w:t>[6]</w:t>
        </w:r>
      </w:hyperlink>
      <w:hyperlink r:id="rId92" w:history="1">
        <w:r>
          <w:rPr>
            <w:rFonts w:cs="Arial"/>
            <w:color w:val="C4921A"/>
            <w:sz w:val="16"/>
            <w:szCs w:val="16"/>
            <w:u w:val="single" w:color="C4921A"/>
            <w:vertAlign w:val="superscript"/>
          </w:rPr>
          <w:t>[37]</w:t>
        </w:r>
      </w:hyperlink>
      <w:r>
        <w:rPr>
          <w:rFonts w:cs="Arial"/>
        </w:rPr>
        <w:t xml:space="preserve"> Nepal's real estate sector had historically served as an opaque, lightly regulated sink for illicit wealth, tax evasion, and informal capital.</w:t>
      </w:r>
    </w:p>
    <w:p w14:paraId="257CD45D"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59B7F24C" w14:textId="77777777">
        <w:tblPrEx>
          <w:tblCellMar>
            <w:top w:w="0" w:type="dxa"/>
            <w:bottom w:w="0" w:type="dxa"/>
          </w:tblCellMar>
        </w:tblPrEx>
        <w:tc>
          <w:tcPr>
            <w:tcW w:w="9000" w:type="dxa"/>
            <w:tcBorders>
              <w:top w:val="none" w:sz="0" w:space="0" w:color="FFFFFF"/>
              <w:left w:val="thick" w:sz="18" w:space="0" w:color="D4813A"/>
              <w:bottom w:val="none" w:sz="0" w:space="0" w:color="FFFFFF"/>
              <w:right w:val="none" w:sz="0" w:space="0" w:color="FFFFFF"/>
            </w:tcBorders>
            <w:shd w:val="clear" w:color="auto" w:fill="FFF8F0"/>
            <w:tcMar>
              <w:top w:w="130" w:type="dxa"/>
              <w:left w:w="220" w:type="dxa"/>
              <w:bottom w:w="130" w:type="dxa"/>
              <w:right w:w="160" w:type="dxa"/>
            </w:tcMar>
          </w:tcPr>
          <w:p w14:paraId="40EBAEC1" w14:textId="77777777" w:rsidR="003D7881" w:rsidRDefault="00000000" w:rsidP="00445CC5">
            <w:pPr>
              <w:spacing w:after="100"/>
              <w:jc w:val="both"/>
            </w:pPr>
            <w:r>
              <w:rPr>
                <w:rFonts w:cs="Arial"/>
                <w:b/>
                <w:bCs/>
                <w:caps/>
                <w:color w:val="A0522D"/>
                <w:sz w:val="17"/>
                <w:szCs w:val="17"/>
              </w:rPr>
              <w:t>Impact</w:t>
            </w:r>
          </w:p>
          <w:p w14:paraId="2C9BFA15" w14:textId="77777777" w:rsidR="003D7881" w:rsidRDefault="00000000" w:rsidP="00445CC5">
            <w:pPr>
              <w:pStyle w:val="ListParagraph"/>
              <w:numPr>
                <w:ilvl w:val="0"/>
                <w:numId w:val="2"/>
              </w:numPr>
              <w:spacing w:after="80"/>
              <w:jc w:val="both"/>
            </w:pPr>
            <w:r>
              <w:rPr>
                <w:sz w:val="19"/>
                <w:szCs w:val="19"/>
              </w:rPr>
              <w:t xml:space="preserve">Forced the </w:t>
            </w:r>
            <w:proofErr w:type="spellStart"/>
            <w:r>
              <w:rPr>
                <w:sz w:val="19"/>
                <w:szCs w:val="19"/>
              </w:rPr>
              <w:t>GoN</w:t>
            </w:r>
            <w:proofErr w:type="spellEnd"/>
            <w:r>
              <w:rPr>
                <w:sz w:val="19"/>
                <w:szCs w:val="19"/>
              </w:rPr>
              <w:t xml:space="preserve">, NRB, and </w:t>
            </w:r>
            <w:proofErr w:type="spellStart"/>
            <w:r>
              <w:rPr>
                <w:sz w:val="19"/>
                <w:szCs w:val="19"/>
              </w:rPr>
              <w:t>DoLMA</w:t>
            </w:r>
            <w:proofErr w:type="spellEnd"/>
            <w:r>
              <w:rPr>
                <w:sz w:val="19"/>
                <w:szCs w:val="19"/>
              </w:rPr>
              <w:t xml:space="preserve"> to implement drastic, immediate AML directives</w:t>
            </w:r>
          </w:p>
          <w:p w14:paraId="76D5B48B" w14:textId="77777777" w:rsidR="003D7881" w:rsidRDefault="00000000" w:rsidP="00445CC5">
            <w:pPr>
              <w:pStyle w:val="ListParagraph"/>
              <w:numPr>
                <w:ilvl w:val="0"/>
                <w:numId w:val="2"/>
              </w:numPr>
              <w:spacing w:after="80"/>
              <w:jc w:val="both"/>
            </w:pPr>
            <w:r>
              <w:rPr>
                <w:sz w:val="19"/>
                <w:szCs w:val="19"/>
              </w:rPr>
              <w:t>Risk of devastating international financial sanctions that would have severely crippled Nepal's ability to attract FDI and maintain correspondent banking relationships globally</w:t>
            </w:r>
          </w:p>
          <w:p w14:paraId="7F7C2C2F" w14:textId="77777777" w:rsidR="003D7881" w:rsidRDefault="00000000" w:rsidP="00445CC5">
            <w:pPr>
              <w:pStyle w:val="ListParagraph"/>
              <w:numPr>
                <w:ilvl w:val="0"/>
                <w:numId w:val="2"/>
              </w:numPr>
              <w:spacing w:after="80"/>
              <w:jc w:val="both"/>
            </w:pPr>
            <w:r>
              <w:rPr>
                <w:sz w:val="19"/>
                <w:szCs w:val="19"/>
              </w:rPr>
              <w:t>Created further transactional friction in the real estate market as compliance requirements rapidly intensified</w:t>
            </w:r>
          </w:p>
        </w:tc>
      </w:tr>
    </w:tbl>
    <w:p w14:paraId="00D724C1" w14:textId="77777777" w:rsidR="003D7881" w:rsidRDefault="003D7881" w:rsidP="00445CC5">
      <w:pPr>
        <w:spacing w:after="8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62409D02" w14:textId="77777777">
        <w:tblPrEx>
          <w:tblCellMar>
            <w:top w:w="0" w:type="dxa"/>
            <w:bottom w:w="0" w:type="dxa"/>
          </w:tblCellMar>
        </w:tblPrEx>
        <w:tc>
          <w:tcPr>
            <w:tcW w:w="9000" w:type="dxa"/>
            <w:tcBorders>
              <w:top w:val="none" w:sz="0" w:space="0" w:color="FFFFFF"/>
              <w:left w:val="thick" w:sz="18" w:space="0" w:color="CC2222"/>
              <w:bottom w:val="none" w:sz="0" w:space="0" w:color="FFFFFF"/>
              <w:right w:val="none" w:sz="0" w:space="0" w:color="FFFFFF"/>
            </w:tcBorders>
            <w:shd w:val="clear" w:color="auto" w:fill="FEF5F5"/>
            <w:tcMar>
              <w:top w:w="130" w:type="dxa"/>
              <w:left w:w="220" w:type="dxa"/>
              <w:bottom w:w="130" w:type="dxa"/>
              <w:right w:w="160" w:type="dxa"/>
            </w:tcMar>
          </w:tcPr>
          <w:p w14:paraId="58A9BD1B" w14:textId="77777777" w:rsidR="003D7881" w:rsidRDefault="00000000" w:rsidP="00445CC5">
            <w:pPr>
              <w:spacing w:after="100"/>
              <w:jc w:val="both"/>
            </w:pPr>
            <w:r>
              <w:rPr>
                <w:rFonts w:cs="Arial"/>
                <w:b/>
                <w:bCs/>
                <w:caps/>
                <w:color w:val="8B1A1A"/>
                <w:sz w:val="17"/>
                <w:szCs w:val="17"/>
              </w:rPr>
              <w:t>Analytical Verdict</w:t>
            </w:r>
          </w:p>
          <w:p w14:paraId="02C8891C" w14:textId="3BB820F4" w:rsidR="003D7881" w:rsidRDefault="00000000" w:rsidP="00445CC5">
            <w:pPr>
              <w:spacing w:after="90"/>
              <w:jc w:val="both"/>
            </w:pPr>
            <w:r>
              <w:rPr>
                <w:rFonts w:cs="Arial"/>
                <w:b/>
                <w:bCs/>
                <w:sz w:val="19"/>
                <w:szCs w:val="19"/>
              </w:rPr>
              <w:t xml:space="preserve">Ranked #4 </w:t>
            </w:r>
            <w:r w:rsidR="00445CC5">
              <w:rPr>
                <w:rFonts w:cs="Arial"/>
                <w:b/>
                <w:bCs/>
                <w:sz w:val="19"/>
                <w:szCs w:val="19"/>
              </w:rPr>
              <w:t>-</w:t>
            </w:r>
            <w:r>
              <w:rPr>
                <w:rFonts w:cs="Arial"/>
                <w:b/>
                <w:bCs/>
                <w:sz w:val="19"/>
                <w:szCs w:val="19"/>
              </w:rPr>
              <w:t xml:space="preserve"> Contextual Friction. </w:t>
            </w:r>
            <w:r>
              <w:rPr>
                <w:rFonts w:cs="Arial"/>
                <w:sz w:val="19"/>
                <w:szCs w:val="19"/>
              </w:rPr>
              <w:t xml:space="preserve">Did not singularly cause the market crash but established a permanent, heavy layer of transactional friction. Represents </w:t>
            </w:r>
            <w:r>
              <w:rPr>
                <w:rFonts w:cs="Arial"/>
                <w:b/>
                <w:bCs/>
                <w:sz w:val="19"/>
                <w:szCs w:val="19"/>
              </w:rPr>
              <w:t xml:space="preserve">"a necessary growing pain in the </w:t>
            </w:r>
            <w:proofErr w:type="spellStart"/>
            <w:r>
              <w:rPr>
                <w:rFonts w:cs="Arial"/>
                <w:b/>
                <w:bCs/>
                <w:sz w:val="19"/>
                <w:szCs w:val="19"/>
              </w:rPr>
              <w:t>formalisation</w:t>
            </w:r>
            <w:proofErr w:type="spellEnd"/>
            <w:r>
              <w:rPr>
                <w:rFonts w:cs="Arial"/>
                <w:b/>
                <w:bCs/>
                <w:sz w:val="19"/>
                <w:szCs w:val="19"/>
              </w:rPr>
              <w:t xml:space="preserve"> of the Nepalese economy."</w:t>
            </w:r>
          </w:p>
        </w:tc>
      </w:tr>
    </w:tbl>
    <w:p w14:paraId="63D44B84" w14:textId="77777777" w:rsidR="003D7881" w:rsidRDefault="003D7881" w:rsidP="00445CC5">
      <w:pPr>
        <w:spacing w:after="140"/>
        <w:jc w:val="both"/>
      </w:pPr>
    </w:p>
    <w:p w14:paraId="6261E61C" w14:textId="77777777" w:rsidR="003D7881" w:rsidRDefault="003D7881" w:rsidP="00445CC5">
      <w:pPr>
        <w:pBdr>
          <w:bottom w:val="single" w:sz="4" w:space="1" w:color="D6D0C8"/>
        </w:pBdr>
        <w:spacing w:before="240" w:after="240"/>
        <w:jc w:val="both"/>
      </w:pPr>
    </w:p>
    <w:p w14:paraId="60C5B43C" w14:textId="77777777" w:rsidR="003D7881" w:rsidRDefault="00000000" w:rsidP="00445CC5">
      <w:pPr>
        <w:pBdr>
          <w:left w:val="thick" w:sz="14" w:space="10" w:color="7C2D12"/>
        </w:pBdr>
        <w:spacing w:before="280" w:after="60"/>
        <w:ind w:left="220"/>
        <w:jc w:val="both"/>
      </w:pPr>
      <w:r>
        <w:rPr>
          <w:rFonts w:cs="Arial"/>
          <w:b/>
          <w:bCs/>
          <w:color w:val="555555"/>
          <w:sz w:val="18"/>
          <w:szCs w:val="18"/>
        </w:rPr>
        <w:t xml:space="preserve">2081/82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2025 AD</w:t>
      </w:r>
      <w:r>
        <w:rPr>
          <w:rFonts w:cs="Arial"/>
          <w:sz w:val="18"/>
          <w:szCs w:val="18"/>
        </w:rPr>
        <w:t xml:space="preserve">        </w:t>
      </w:r>
      <w:r>
        <w:rPr>
          <w:rFonts w:cs="Arial"/>
          <w:b/>
          <w:bCs/>
          <w:color w:val="7C2D12"/>
          <w:sz w:val="18"/>
          <w:szCs w:val="18"/>
        </w:rPr>
        <w:t>◆ AML / COMPLIANCE</w:t>
      </w:r>
    </w:p>
    <w:p w14:paraId="1BA04980" w14:textId="77777777" w:rsidR="003D7881" w:rsidRDefault="00000000" w:rsidP="00445CC5">
      <w:pPr>
        <w:pBdr>
          <w:left w:val="thick" w:sz="14" w:space="10" w:color="DDDDDD"/>
        </w:pBdr>
        <w:spacing w:before="60" w:after="160"/>
        <w:ind w:left="220"/>
        <w:jc w:val="both"/>
      </w:pPr>
      <w:r>
        <w:rPr>
          <w:rFonts w:cs="Arial"/>
          <w:b/>
          <w:bCs/>
          <w:sz w:val="26"/>
          <w:szCs w:val="26"/>
        </w:rPr>
        <w:lastRenderedPageBreak/>
        <w:t xml:space="preserve">AML Directives: Real Estate Agents Classified as DNFBPs; NPR 10 </w:t>
      </w:r>
      <w:proofErr w:type="gramStart"/>
      <w:r>
        <w:rPr>
          <w:rFonts w:cs="Arial"/>
          <w:b/>
          <w:bCs/>
          <w:sz w:val="26"/>
          <w:szCs w:val="26"/>
        </w:rPr>
        <w:t>Million</w:t>
      </w:r>
      <w:proofErr w:type="gramEnd"/>
      <w:r>
        <w:rPr>
          <w:rFonts w:cs="Arial"/>
          <w:b/>
          <w:bCs/>
          <w:sz w:val="26"/>
          <w:szCs w:val="26"/>
        </w:rPr>
        <w:t xml:space="preserve"> CDD Threshold Triggers Mandatory KYC for All Large Transactions</w:t>
      </w:r>
    </w:p>
    <w:p w14:paraId="6F3075F5" w14:textId="77777777" w:rsidR="003D7881" w:rsidRDefault="00000000" w:rsidP="00445CC5">
      <w:pPr>
        <w:pBdr>
          <w:left w:val="thick" w:sz="6" w:space="10" w:color="EEEEEE"/>
        </w:pBdr>
        <w:spacing w:after="120"/>
        <w:ind w:left="220"/>
        <w:jc w:val="both"/>
      </w:pPr>
      <w:r>
        <w:rPr>
          <w:rFonts w:cs="Arial"/>
        </w:rPr>
        <w:t>To respond to FATF Grey List placement:</w:t>
      </w:r>
      <w:hyperlink r:id="rId93" w:history="1">
        <w:r>
          <w:rPr>
            <w:rFonts w:cs="Arial"/>
            <w:color w:val="C4921A"/>
            <w:sz w:val="16"/>
            <w:szCs w:val="16"/>
            <w:u w:val="single" w:color="C4921A"/>
            <w:vertAlign w:val="superscript"/>
          </w:rPr>
          <w:t>[37]</w:t>
        </w:r>
      </w:hyperlink>
      <w:hyperlink r:id="rId94" w:history="1">
        <w:r>
          <w:rPr>
            <w:rFonts w:cs="Arial"/>
            <w:color w:val="C4921A"/>
            <w:sz w:val="16"/>
            <w:szCs w:val="16"/>
            <w:u w:val="single" w:color="C4921A"/>
            <w:vertAlign w:val="superscript"/>
          </w:rPr>
          <w:t>[6]</w:t>
        </w:r>
      </w:hyperlink>
    </w:p>
    <w:p w14:paraId="312A3CA1" w14:textId="77777777" w:rsidR="003D7881" w:rsidRDefault="00000000" w:rsidP="00445CC5">
      <w:pPr>
        <w:pStyle w:val="ListParagraph"/>
        <w:numPr>
          <w:ilvl w:val="0"/>
          <w:numId w:val="3"/>
        </w:numPr>
        <w:pBdr>
          <w:left w:val="thick" w:sz="6" w:space="10" w:color="EEEEEE"/>
        </w:pBdr>
        <w:spacing w:after="80"/>
        <w:jc w:val="both"/>
      </w:pPr>
      <w:r>
        <w:t xml:space="preserve">Real estate agents and brokers formally brought under the regulatory umbrella of </w:t>
      </w:r>
      <w:r>
        <w:rPr>
          <w:b/>
          <w:bCs/>
        </w:rPr>
        <w:t>Designated Non-Financial Businesses and Professions (DNFBPs)</w:t>
      </w:r>
    </w:p>
    <w:p w14:paraId="3C64B34C" w14:textId="77777777" w:rsidR="003D7881" w:rsidRDefault="00000000" w:rsidP="00445CC5">
      <w:pPr>
        <w:pStyle w:val="ListParagraph"/>
        <w:numPr>
          <w:ilvl w:val="0"/>
          <w:numId w:val="3"/>
        </w:numPr>
        <w:pBdr>
          <w:left w:val="thick" w:sz="6" w:space="10" w:color="EEEEEE"/>
        </w:pBdr>
        <w:spacing w:after="80"/>
        <w:jc w:val="both"/>
      </w:pPr>
      <w:r>
        <w:t xml:space="preserve">Strict </w:t>
      </w:r>
      <w:r>
        <w:rPr>
          <w:b/>
          <w:bCs/>
        </w:rPr>
        <w:t>Customer Due Diligence (CDD) and Know Your Customer (KYC)</w:t>
      </w:r>
      <w:r>
        <w:t xml:space="preserve"> requirements applied to sale and purchase of any house or land valued at </w:t>
      </w:r>
      <w:r>
        <w:rPr>
          <w:b/>
          <w:bCs/>
        </w:rPr>
        <w:t>NPR 10 million (~USD 75,000) or more</w:t>
      </w:r>
    </w:p>
    <w:p w14:paraId="7E3F3708" w14:textId="77777777" w:rsidR="003D7881" w:rsidRDefault="00000000" w:rsidP="00445CC5">
      <w:pPr>
        <w:pStyle w:val="ListParagraph"/>
        <w:numPr>
          <w:ilvl w:val="0"/>
          <w:numId w:val="3"/>
        </w:numPr>
        <w:pBdr>
          <w:left w:val="thick" w:sz="6" w:space="10" w:color="EEEEEE"/>
        </w:pBdr>
        <w:spacing w:after="80"/>
        <w:jc w:val="both"/>
      </w:pPr>
      <w:r>
        <w:t xml:space="preserve">Mandatory rigorous tracing of the legitimate </w:t>
      </w:r>
      <w:r>
        <w:rPr>
          <w:b/>
          <w:bCs/>
        </w:rPr>
        <w:t>"source of funds,"</w:t>
      </w:r>
      <w:r>
        <w:t xml:space="preserve"> monitoring for "property-purification," verification of Permanent Account Numbers (PAN), and filing of </w:t>
      </w:r>
      <w:r>
        <w:rPr>
          <w:b/>
          <w:bCs/>
        </w:rPr>
        <w:t>Suspicious Transaction Reports (STRs)</w:t>
      </w:r>
      <w:hyperlink r:id="rId95" w:history="1">
        <w:r>
          <w:rPr>
            <w:color w:val="C4921A"/>
            <w:sz w:val="16"/>
            <w:szCs w:val="16"/>
            <w:u w:val="single" w:color="C4921A"/>
            <w:vertAlign w:val="superscript"/>
          </w:rPr>
          <w:t>[38]</w:t>
        </w:r>
      </w:hyperlink>
    </w:p>
    <w:p w14:paraId="5A2F3899" w14:textId="021D2399" w:rsidR="003D7881" w:rsidRDefault="00000000" w:rsidP="00445CC5">
      <w:pPr>
        <w:pBdr>
          <w:left w:val="thick" w:sz="6" w:space="10" w:color="EEEEEE"/>
        </w:pBdr>
        <w:spacing w:after="120"/>
        <w:ind w:left="220"/>
        <w:jc w:val="both"/>
      </w:pPr>
      <w:r>
        <w:rPr>
          <w:rFonts w:cs="Arial"/>
          <w:b/>
          <w:bCs/>
        </w:rPr>
        <w:t>Perverse Market Response:</w:t>
      </w:r>
      <w:r>
        <w:rPr>
          <w:rFonts w:cs="Arial"/>
        </w:rPr>
        <w:t xml:space="preserve"> High-net-worth investors either withdrew capital entirely OR </w:t>
      </w:r>
      <w:r>
        <w:rPr>
          <w:rFonts w:cs="Arial"/>
          <w:b/>
          <w:bCs/>
        </w:rPr>
        <w:t>artificially undervalued their property deeds further</w:t>
      </w:r>
      <w:r>
        <w:rPr>
          <w:rFonts w:cs="Arial"/>
        </w:rPr>
        <w:t xml:space="preserve"> at land revenue offices </w:t>
      </w:r>
      <w:r w:rsidR="00445CC5">
        <w:rPr>
          <w:rFonts w:cs="Arial"/>
        </w:rPr>
        <w:t>-</w:t>
      </w:r>
      <w:r>
        <w:rPr>
          <w:rFonts w:cs="Arial"/>
        </w:rPr>
        <w:t xml:space="preserve"> keeping declared </w:t>
      </w:r>
      <w:proofErr w:type="spellStart"/>
      <w:r>
        <w:rPr>
          <w:rFonts w:cs="Arial"/>
        </w:rPr>
        <w:t>Thaili</w:t>
      </w:r>
      <w:proofErr w:type="spellEnd"/>
      <w:r>
        <w:rPr>
          <w:rFonts w:cs="Arial"/>
        </w:rPr>
        <w:t xml:space="preserve"> amounts below NPR 10 million to bypass CDD scrutiny. This </w:t>
      </w:r>
      <w:r>
        <w:rPr>
          <w:rFonts w:cs="Arial"/>
          <w:b/>
          <w:bCs/>
        </w:rPr>
        <w:t>exacerbated the very lack of market transparency</w:t>
      </w:r>
      <w:r>
        <w:rPr>
          <w:rFonts w:cs="Arial"/>
        </w:rPr>
        <w:t xml:space="preserve"> the FATF laws were designed to eliminate.</w:t>
      </w:r>
      <w:hyperlink r:id="rId96" w:history="1">
        <w:r>
          <w:rPr>
            <w:rFonts w:cs="Arial"/>
            <w:color w:val="C4921A"/>
            <w:sz w:val="16"/>
            <w:szCs w:val="16"/>
            <w:u w:val="single" w:color="C4921A"/>
            <w:vertAlign w:val="superscript"/>
          </w:rPr>
          <w:t>[6]</w:t>
        </w:r>
      </w:hyperlink>
    </w:p>
    <w:p w14:paraId="609B27D0"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51284F6B" w14:textId="77777777">
        <w:tblPrEx>
          <w:tblCellMar>
            <w:top w:w="0" w:type="dxa"/>
            <w:bottom w:w="0" w:type="dxa"/>
          </w:tblCellMar>
        </w:tblPrEx>
        <w:tc>
          <w:tcPr>
            <w:tcW w:w="9000" w:type="dxa"/>
            <w:tcBorders>
              <w:top w:val="none" w:sz="0" w:space="0" w:color="FFFFFF"/>
              <w:left w:val="thick" w:sz="18" w:space="0" w:color="D4813A"/>
              <w:bottom w:val="none" w:sz="0" w:space="0" w:color="FFFFFF"/>
              <w:right w:val="none" w:sz="0" w:space="0" w:color="FFFFFF"/>
            </w:tcBorders>
            <w:shd w:val="clear" w:color="auto" w:fill="FFF8F0"/>
            <w:tcMar>
              <w:top w:w="130" w:type="dxa"/>
              <w:left w:w="220" w:type="dxa"/>
              <w:bottom w:w="130" w:type="dxa"/>
              <w:right w:w="160" w:type="dxa"/>
            </w:tcMar>
          </w:tcPr>
          <w:p w14:paraId="3B53356C" w14:textId="77777777" w:rsidR="003D7881" w:rsidRDefault="00000000" w:rsidP="00445CC5">
            <w:pPr>
              <w:spacing w:after="100"/>
              <w:jc w:val="both"/>
            </w:pPr>
            <w:r>
              <w:rPr>
                <w:rFonts w:cs="Arial"/>
                <w:b/>
                <w:bCs/>
                <w:caps/>
                <w:color w:val="A0522D"/>
                <w:sz w:val="17"/>
                <w:szCs w:val="17"/>
              </w:rPr>
              <w:t>Impact</w:t>
            </w:r>
          </w:p>
          <w:p w14:paraId="0235486E" w14:textId="77777777" w:rsidR="003D7881" w:rsidRDefault="00000000" w:rsidP="00445CC5">
            <w:pPr>
              <w:spacing w:after="90"/>
              <w:jc w:val="both"/>
            </w:pPr>
            <w:r>
              <w:rPr>
                <w:rFonts w:cs="Arial"/>
                <w:sz w:val="19"/>
                <w:szCs w:val="19"/>
              </w:rPr>
              <w:t xml:space="preserve">Immediate chilling effect. Massive procedural friction injected into a market previously </w:t>
            </w:r>
            <w:proofErr w:type="spellStart"/>
            <w:r>
              <w:rPr>
                <w:rFonts w:cs="Arial"/>
                <w:sz w:val="19"/>
                <w:szCs w:val="19"/>
              </w:rPr>
              <w:t>characterised</w:t>
            </w:r>
            <w:proofErr w:type="spellEnd"/>
            <w:r>
              <w:rPr>
                <w:rFonts w:cs="Arial"/>
                <w:sz w:val="19"/>
                <w:szCs w:val="19"/>
              </w:rPr>
              <w:t xml:space="preserve"> by easy, anonymous cash transfers. While absolutely necessary for international compliance and long-term market health, the directives created a painful but necessary transition from an opaque informal system to a formally regulated one.</w:t>
            </w:r>
          </w:p>
        </w:tc>
      </w:tr>
    </w:tbl>
    <w:p w14:paraId="127BA334" w14:textId="77777777" w:rsidR="003D7881" w:rsidRDefault="003D7881" w:rsidP="00445CC5">
      <w:pPr>
        <w:spacing w:after="140"/>
        <w:jc w:val="both"/>
      </w:pPr>
    </w:p>
    <w:p w14:paraId="2C30B884" w14:textId="77777777" w:rsidR="003D7881" w:rsidRDefault="003D7881" w:rsidP="00445CC5">
      <w:pPr>
        <w:pBdr>
          <w:bottom w:val="single" w:sz="4" w:space="1" w:color="D6D0C8"/>
        </w:pBdr>
        <w:spacing w:before="240" w:after="240"/>
        <w:jc w:val="both"/>
      </w:pPr>
    </w:p>
    <w:p w14:paraId="64236363" w14:textId="77777777" w:rsidR="003D7881" w:rsidRDefault="00000000" w:rsidP="00445CC5">
      <w:pPr>
        <w:pBdr>
          <w:left w:val="thick" w:sz="14" w:space="10" w:color="5B21B6"/>
        </w:pBdr>
        <w:spacing w:before="280" w:after="60"/>
        <w:ind w:left="220"/>
        <w:jc w:val="both"/>
      </w:pPr>
      <w:r>
        <w:rPr>
          <w:rFonts w:cs="Arial"/>
          <w:b/>
          <w:bCs/>
          <w:color w:val="555555"/>
          <w:sz w:val="18"/>
          <w:szCs w:val="18"/>
        </w:rPr>
        <w:t xml:space="preserve">Magh 2081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January 2025 AD</w:t>
      </w:r>
      <w:r>
        <w:rPr>
          <w:rFonts w:cs="Arial"/>
          <w:sz w:val="18"/>
          <w:szCs w:val="18"/>
        </w:rPr>
        <w:t xml:space="preserve">        </w:t>
      </w:r>
      <w:r>
        <w:rPr>
          <w:rFonts w:cs="Arial"/>
          <w:b/>
          <w:bCs/>
          <w:color w:val="5B21B6"/>
          <w:sz w:val="18"/>
          <w:szCs w:val="18"/>
        </w:rPr>
        <w:t>◆ JUDICIAL</w:t>
      </w:r>
    </w:p>
    <w:p w14:paraId="3CA8B916" w14:textId="77777777" w:rsidR="003D7881" w:rsidRDefault="00000000" w:rsidP="00445CC5">
      <w:pPr>
        <w:pBdr>
          <w:left w:val="thick" w:sz="14" w:space="10" w:color="DDDDDD"/>
        </w:pBdr>
        <w:spacing w:before="60" w:after="160"/>
        <w:ind w:left="220"/>
        <w:jc w:val="both"/>
      </w:pPr>
      <w:r>
        <w:rPr>
          <w:rFonts w:cs="Arial"/>
          <w:b/>
          <w:bCs/>
          <w:sz w:val="26"/>
          <w:szCs w:val="26"/>
        </w:rPr>
        <w:t>Constitutional Bench Strikes Down Government Law Allowing Commercial Real Estate &amp; Luxury Hotels in Protected Areas</w:t>
      </w:r>
    </w:p>
    <w:p w14:paraId="2FD15EF4" w14:textId="77777777" w:rsidR="003D7881" w:rsidRDefault="00000000" w:rsidP="00445CC5">
      <w:pPr>
        <w:pBdr>
          <w:left w:val="thick" w:sz="6" w:space="10" w:color="EEEEEE"/>
        </w:pBdr>
        <w:spacing w:after="120"/>
        <w:ind w:left="220"/>
        <w:jc w:val="both"/>
      </w:pPr>
      <w:r>
        <w:rPr>
          <w:rFonts w:cs="Arial"/>
        </w:rPr>
        <w:t xml:space="preserve">The constitutional bench struck down a controversial 2024 government law that had attempted to systematically </w:t>
      </w:r>
      <w:r>
        <w:rPr>
          <w:rFonts w:cs="Arial"/>
          <w:b/>
          <w:bCs/>
        </w:rPr>
        <w:t>rezone "highly sensitive" protected areas</w:t>
      </w:r>
      <w:r>
        <w:rPr>
          <w:rFonts w:cs="Arial"/>
        </w:rPr>
        <w:t xml:space="preserve"> to allow for the construction of commercial real estate, luxury hotels, and large-scale infrastructure such as cable cars.</w:t>
      </w:r>
      <w:hyperlink r:id="rId97" w:history="1">
        <w:r>
          <w:rPr>
            <w:rFonts w:cs="Arial"/>
            <w:color w:val="C4921A"/>
            <w:sz w:val="16"/>
            <w:szCs w:val="16"/>
            <w:u w:val="single" w:color="C4921A"/>
            <w:vertAlign w:val="superscript"/>
          </w:rPr>
          <w:t>[56]</w:t>
        </w:r>
      </w:hyperlink>
    </w:p>
    <w:p w14:paraId="0E3487F1"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4F303F8A" w14:textId="77777777">
        <w:tblPrEx>
          <w:tblCellMar>
            <w:top w:w="0" w:type="dxa"/>
            <w:bottom w:w="0" w:type="dxa"/>
          </w:tblCellMar>
        </w:tblPrEx>
        <w:tc>
          <w:tcPr>
            <w:tcW w:w="9000" w:type="dxa"/>
            <w:tcBorders>
              <w:top w:val="none" w:sz="0" w:space="0" w:color="FFFFFF"/>
              <w:left w:val="thick" w:sz="18" w:space="0" w:color="D4813A"/>
              <w:bottom w:val="none" w:sz="0" w:space="0" w:color="FFFFFF"/>
              <w:right w:val="none" w:sz="0" w:space="0" w:color="FFFFFF"/>
            </w:tcBorders>
            <w:shd w:val="clear" w:color="auto" w:fill="FFF8F0"/>
            <w:tcMar>
              <w:top w:w="130" w:type="dxa"/>
              <w:left w:w="220" w:type="dxa"/>
              <w:bottom w:w="130" w:type="dxa"/>
              <w:right w:w="160" w:type="dxa"/>
            </w:tcMar>
          </w:tcPr>
          <w:p w14:paraId="104FDF1A" w14:textId="77777777" w:rsidR="003D7881" w:rsidRDefault="00000000" w:rsidP="00445CC5">
            <w:pPr>
              <w:spacing w:after="100"/>
              <w:jc w:val="both"/>
            </w:pPr>
            <w:r>
              <w:rPr>
                <w:rFonts w:cs="Arial"/>
                <w:b/>
                <w:bCs/>
                <w:caps/>
                <w:color w:val="A0522D"/>
                <w:sz w:val="17"/>
                <w:szCs w:val="17"/>
              </w:rPr>
              <w:t>Impact</w:t>
            </w:r>
          </w:p>
          <w:p w14:paraId="632EA4E9" w14:textId="77777777" w:rsidR="003D7881" w:rsidRDefault="00000000" w:rsidP="00445CC5">
            <w:pPr>
              <w:pStyle w:val="ListParagraph"/>
              <w:numPr>
                <w:ilvl w:val="0"/>
                <w:numId w:val="2"/>
              </w:numPr>
              <w:spacing w:after="80"/>
              <w:jc w:val="both"/>
            </w:pPr>
            <w:r>
              <w:rPr>
                <w:sz w:val="19"/>
                <w:szCs w:val="19"/>
              </w:rPr>
              <w:t xml:space="preserve">Firmly established a </w:t>
            </w:r>
            <w:r>
              <w:rPr>
                <w:b/>
                <w:bCs/>
                <w:sz w:val="19"/>
                <w:szCs w:val="19"/>
              </w:rPr>
              <w:t>legal frontier against commercial real estate expansion</w:t>
            </w:r>
            <w:r>
              <w:rPr>
                <w:sz w:val="19"/>
                <w:szCs w:val="19"/>
              </w:rPr>
              <w:t xml:space="preserve"> in ecologically sensitive regions</w:t>
            </w:r>
          </w:p>
          <w:p w14:paraId="0F796EE4" w14:textId="77777777" w:rsidR="003D7881" w:rsidRDefault="00000000" w:rsidP="00445CC5">
            <w:pPr>
              <w:pStyle w:val="ListParagraph"/>
              <w:numPr>
                <w:ilvl w:val="0"/>
                <w:numId w:val="2"/>
              </w:numPr>
              <w:spacing w:after="80"/>
              <w:jc w:val="both"/>
            </w:pPr>
            <w:r>
              <w:rPr>
                <w:sz w:val="19"/>
                <w:szCs w:val="19"/>
              </w:rPr>
              <w:t>Definitively capped the supply of developable land in protected areas, countering government attempts to open new development corridors</w:t>
            </w:r>
          </w:p>
          <w:p w14:paraId="409FD80D" w14:textId="77777777" w:rsidR="003D7881" w:rsidRDefault="00000000" w:rsidP="00445CC5">
            <w:pPr>
              <w:pStyle w:val="ListParagraph"/>
              <w:numPr>
                <w:ilvl w:val="0"/>
                <w:numId w:val="2"/>
              </w:numPr>
              <w:spacing w:after="80"/>
              <w:jc w:val="both"/>
            </w:pPr>
            <w:r>
              <w:rPr>
                <w:sz w:val="19"/>
                <w:szCs w:val="19"/>
              </w:rPr>
              <w:t>Frustrated the investment plans of developers who had anticipated the rezoning law's passage</w:t>
            </w:r>
          </w:p>
        </w:tc>
      </w:tr>
    </w:tbl>
    <w:p w14:paraId="090282A7" w14:textId="77777777" w:rsidR="003D7881" w:rsidRDefault="003D7881" w:rsidP="00445CC5">
      <w:pPr>
        <w:spacing w:after="140"/>
        <w:jc w:val="both"/>
      </w:pPr>
    </w:p>
    <w:p w14:paraId="405AFB43" w14:textId="77777777" w:rsidR="003D7881" w:rsidRDefault="003D7881" w:rsidP="00445CC5">
      <w:pPr>
        <w:pBdr>
          <w:bottom w:val="single" w:sz="4" w:space="1" w:color="D6D0C8"/>
        </w:pBdr>
        <w:spacing w:before="240" w:after="240"/>
        <w:jc w:val="both"/>
      </w:pPr>
    </w:p>
    <w:p w14:paraId="7D6614D3" w14:textId="77777777" w:rsidR="003D7881" w:rsidRDefault="00000000" w:rsidP="00445CC5">
      <w:pPr>
        <w:pBdr>
          <w:left w:val="thick" w:sz="14" w:space="10" w:color="166534"/>
        </w:pBdr>
        <w:spacing w:before="280" w:after="60"/>
        <w:ind w:left="220"/>
        <w:jc w:val="both"/>
      </w:pPr>
      <w:r>
        <w:rPr>
          <w:rFonts w:cs="Arial"/>
          <w:b/>
          <w:bCs/>
          <w:color w:val="555555"/>
          <w:sz w:val="18"/>
          <w:szCs w:val="18"/>
        </w:rPr>
        <w:t xml:space="preserve">Late 2081/Early 2082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Late 2024/Early 2025 AD</w:t>
      </w:r>
      <w:r>
        <w:rPr>
          <w:rFonts w:cs="Arial"/>
          <w:sz w:val="18"/>
          <w:szCs w:val="18"/>
        </w:rPr>
        <w:t xml:space="preserve">        </w:t>
      </w:r>
      <w:r>
        <w:rPr>
          <w:rFonts w:cs="Arial"/>
          <w:b/>
          <w:bCs/>
          <w:color w:val="166534"/>
          <w:sz w:val="18"/>
          <w:szCs w:val="18"/>
        </w:rPr>
        <w:t>◆ RECOVERY / REFORM</w:t>
      </w:r>
    </w:p>
    <w:p w14:paraId="5039DA89" w14:textId="074B03E6" w:rsidR="003D7881" w:rsidRDefault="00000000" w:rsidP="00445CC5">
      <w:pPr>
        <w:pBdr>
          <w:left w:val="thick" w:sz="14" w:space="10" w:color="DDDDDD"/>
        </w:pBdr>
        <w:spacing w:before="60" w:after="160"/>
        <w:ind w:left="220"/>
        <w:jc w:val="both"/>
      </w:pPr>
      <w:r>
        <w:rPr>
          <w:rFonts w:cs="Arial"/>
          <w:b/>
          <w:bCs/>
          <w:sz w:val="26"/>
          <w:szCs w:val="26"/>
        </w:rPr>
        <w:t xml:space="preserve">MAJOR TURNING POINT </w:t>
      </w:r>
      <w:r w:rsidR="00445CC5">
        <w:rPr>
          <w:rFonts w:cs="Arial"/>
          <w:b/>
          <w:bCs/>
          <w:sz w:val="26"/>
          <w:szCs w:val="26"/>
        </w:rPr>
        <w:t>-</w:t>
      </w:r>
      <w:r>
        <w:rPr>
          <w:rFonts w:cs="Arial"/>
          <w:b/>
          <w:bCs/>
          <w:sz w:val="26"/>
          <w:szCs w:val="26"/>
        </w:rPr>
        <w:t xml:space="preserve"> Third Amendment Admits Administrative Defeat: Kitta Kat Ban Temporarily Lifted Across All Municipalities Until Mid-July 2026</w:t>
      </w:r>
    </w:p>
    <w:p w14:paraId="5681AB96" w14:textId="36E070D5" w:rsidR="003D7881" w:rsidRDefault="00000000" w:rsidP="00445CC5">
      <w:pPr>
        <w:pBdr>
          <w:left w:val="thick" w:sz="6" w:space="10" w:color="EEEEEE"/>
        </w:pBdr>
        <w:spacing w:after="120"/>
        <w:ind w:left="220"/>
        <w:jc w:val="both"/>
      </w:pPr>
      <w:r>
        <w:rPr>
          <w:rFonts w:cs="Arial"/>
        </w:rPr>
        <w:t xml:space="preserve">After two failed deadline extensions and persistent administrative failure across over 500 municipalities, the government passed the </w:t>
      </w:r>
      <w:r>
        <w:rPr>
          <w:rFonts w:cs="Arial"/>
          <w:b/>
          <w:bCs/>
        </w:rPr>
        <w:t>Third Amendment</w:t>
      </w:r>
      <w:r>
        <w:rPr>
          <w:rFonts w:cs="Arial"/>
        </w:rPr>
        <w:t xml:space="preserve"> </w:t>
      </w:r>
      <w:r w:rsidR="00445CC5">
        <w:rPr>
          <w:rFonts w:cs="Arial"/>
        </w:rPr>
        <w:t>-</w:t>
      </w:r>
      <w:r>
        <w:rPr>
          <w:rFonts w:cs="Arial"/>
        </w:rPr>
        <w:t xml:space="preserve"> essentially admitting administrative defeat by </w:t>
      </w:r>
      <w:r>
        <w:rPr>
          <w:rFonts w:cs="Arial"/>
          <w:b/>
          <w:bCs/>
        </w:rPr>
        <w:t>temporarily lifting the strict classification requirement</w:t>
      </w:r>
      <w:r>
        <w:rPr>
          <w:rFonts w:cs="Arial"/>
        </w:rPr>
        <w:t xml:space="preserve"> and allowing plotting to resume across all municipalities until mid-July </w:t>
      </w:r>
      <w:r>
        <w:rPr>
          <w:rFonts w:cs="Arial"/>
        </w:rPr>
        <w:lastRenderedPageBreak/>
        <w:t>2026.</w:t>
      </w:r>
      <w:hyperlink r:id="rId98" w:history="1">
        <w:r>
          <w:rPr>
            <w:rFonts w:cs="Arial"/>
            <w:color w:val="C4921A"/>
            <w:sz w:val="16"/>
            <w:szCs w:val="16"/>
            <w:u w:val="single" w:color="C4921A"/>
            <w:vertAlign w:val="superscript"/>
          </w:rPr>
          <w:t>[32]</w:t>
        </w:r>
      </w:hyperlink>
      <w:r>
        <w:rPr>
          <w:rFonts w:cs="Arial"/>
        </w:rPr>
        <w:t xml:space="preserve"> This was a political stopgap </w:t>
      </w:r>
      <w:r w:rsidR="00445CC5">
        <w:rPr>
          <w:rFonts w:cs="Arial"/>
        </w:rPr>
        <w:t>-</w:t>
      </w:r>
      <w:r>
        <w:rPr>
          <w:rFonts w:cs="Arial"/>
        </w:rPr>
        <w:t xml:space="preserve"> not a structural solution </w:t>
      </w:r>
      <w:r w:rsidR="00445CC5">
        <w:rPr>
          <w:rFonts w:cs="Arial"/>
        </w:rPr>
        <w:t>-</w:t>
      </w:r>
      <w:r>
        <w:rPr>
          <w:rFonts w:cs="Arial"/>
        </w:rPr>
        <w:t xml:space="preserve"> but it allowed the market to </w:t>
      </w:r>
      <w:r>
        <w:rPr>
          <w:rFonts w:cs="Arial"/>
          <w:b/>
          <w:bCs/>
        </w:rPr>
        <w:t>tentatively breathe again</w:t>
      </w:r>
      <w:r>
        <w:rPr>
          <w:rFonts w:cs="Arial"/>
        </w:rPr>
        <w:t xml:space="preserve"> for the first time since late 2022.</w:t>
      </w:r>
    </w:p>
    <w:p w14:paraId="47A06FF6"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406563E8" w14:textId="77777777">
        <w:tblPrEx>
          <w:tblCellMar>
            <w:top w:w="0" w:type="dxa"/>
            <w:bottom w:w="0" w:type="dxa"/>
          </w:tblCellMar>
        </w:tblPrEx>
        <w:tc>
          <w:tcPr>
            <w:tcW w:w="9000" w:type="dxa"/>
            <w:tcBorders>
              <w:top w:val="none" w:sz="0" w:space="0" w:color="FFFFFF"/>
              <w:left w:val="thick" w:sz="18" w:space="0" w:color="2E8B57"/>
              <w:bottom w:val="none" w:sz="0" w:space="0" w:color="FFFFFF"/>
              <w:right w:val="none" w:sz="0" w:space="0" w:color="FFFFFF"/>
            </w:tcBorders>
            <w:shd w:val="clear" w:color="auto" w:fill="F0FAF4"/>
            <w:tcMar>
              <w:top w:w="130" w:type="dxa"/>
              <w:left w:w="220" w:type="dxa"/>
              <w:bottom w:w="130" w:type="dxa"/>
              <w:right w:w="160" w:type="dxa"/>
            </w:tcMar>
          </w:tcPr>
          <w:p w14:paraId="70F3FB5E" w14:textId="77777777" w:rsidR="003D7881" w:rsidRDefault="00000000" w:rsidP="00445CC5">
            <w:pPr>
              <w:spacing w:after="100"/>
              <w:jc w:val="both"/>
            </w:pPr>
            <w:r>
              <w:rPr>
                <w:rFonts w:cs="Arial"/>
                <w:b/>
                <w:bCs/>
                <w:caps/>
                <w:color w:val="1A5E3A"/>
                <w:sz w:val="17"/>
                <w:szCs w:val="17"/>
              </w:rPr>
              <w:t>Key Data</w:t>
            </w:r>
          </w:p>
          <w:p w14:paraId="5AFF3E88" w14:textId="774844FB" w:rsidR="003D7881" w:rsidRDefault="00000000" w:rsidP="00445CC5">
            <w:pPr>
              <w:pStyle w:val="ListParagraph"/>
              <w:numPr>
                <w:ilvl w:val="0"/>
                <w:numId w:val="2"/>
              </w:numPr>
              <w:spacing w:after="80"/>
              <w:jc w:val="both"/>
            </w:pPr>
            <w:r>
              <w:rPr>
                <w:b/>
                <w:bCs/>
                <w:sz w:val="19"/>
                <w:szCs w:val="19"/>
              </w:rPr>
              <w:t xml:space="preserve">Q4 FY 2081/82: </w:t>
            </w:r>
            <w:r>
              <w:rPr>
                <w:b/>
                <w:bCs/>
                <w:color w:val="166534"/>
                <w:sz w:val="19"/>
                <w:szCs w:val="19"/>
              </w:rPr>
              <w:t>114,769 transactions in a single quarter</w:t>
            </w:r>
            <w:r>
              <w:rPr>
                <w:sz w:val="19"/>
                <w:szCs w:val="19"/>
              </w:rPr>
              <w:t xml:space="preserve"> </w:t>
            </w:r>
            <w:r w:rsidR="00445CC5">
              <w:rPr>
                <w:sz w:val="19"/>
                <w:szCs w:val="19"/>
              </w:rPr>
              <w:t>-</w:t>
            </w:r>
            <w:r>
              <w:rPr>
                <w:sz w:val="19"/>
                <w:szCs w:val="19"/>
              </w:rPr>
              <w:t xml:space="preserve"> directly correlating with this policy reversal</w:t>
            </w:r>
            <w:hyperlink r:id="rId99" w:history="1">
              <w:r>
                <w:rPr>
                  <w:color w:val="C4921A"/>
                  <w:sz w:val="16"/>
                  <w:szCs w:val="16"/>
                  <w:u w:val="single" w:color="C4921A"/>
                  <w:vertAlign w:val="superscript"/>
                </w:rPr>
                <w:t>[59]</w:t>
              </w:r>
            </w:hyperlink>
          </w:p>
          <w:p w14:paraId="0D0ECB24" w14:textId="77777777" w:rsidR="003D7881" w:rsidRDefault="00000000" w:rsidP="00445CC5">
            <w:pPr>
              <w:pStyle w:val="ListParagraph"/>
              <w:numPr>
                <w:ilvl w:val="0"/>
                <w:numId w:val="2"/>
              </w:numPr>
              <w:spacing w:after="80"/>
              <w:jc w:val="both"/>
            </w:pPr>
            <w:r>
              <w:rPr>
                <w:sz w:val="19"/>
                <w:szCs w:val="19"/>
              </w:rPr>
              <w:t xml:space="preserve">Government Revenue: approximately </w:t>
            </w:r>
            <w:r>
              <w:rPr>
                <w:b/>
                <w:bCs/>
                <w:sz w:val="19"/>
                <w:szCs w:val="19"/>
              </w:rPr>
              <w:t xml:space="preserve">Rs. 15 </w:t>
            </w:r>
            <w:proofErr w:type="gramStart"/>
            <w:r>
              <w:rPr>
                <w:b/>
                <w:bCs/>
                <w:sz w:val="19"/>
                <w:szCs w:val="19"/>
              </w:rPr>
              <w:t>Billion</w:t>
            </w:r>
            <w:proofErr w:type="gramEnd"/>
            <w:r>
              <w:rPr>
                <w:b/>
                <w:bCs/>
                <w:sz w:val="19"/>
                <w:szCs w:val="19"/>
              </w:rPr>
              <w:t xml:space="preserve"> quarterly average</w:t>
            </w:r>
            <w:hyperlink r:id="rId100" w:history="1">
              <w:r>
                <w:rPr>
                  <w:color w:val="C4921A"/>
                  <w:sz w:val="16"/>
                  <w:szCs w:val="16"/>
                  <w:u w:val="single" w:color="C4921A"/>
                  <w:vertAlign w:val="superscript"/>
                </w:rPr>
                <w:t>[1]</w:t>
              </w:r>
            </w:hyperlink>
          </w:p>
          <w:p w14:paraId="0B93CE7E" w14:textId="77777777" w:rsidR="003D7881" w:rsidRDefault="00000000" w:rsidP="00445CC5">
            <w:pPr>
              <w:pStyle w:val="ListParagraph"/>
              <w:numPr>
                <w:ilvl w:val="0"/>
                <w:numId w:val="2"/>
              </w:numPr>
              <w:spacing w:after="80"/>
              <w:jc w:val="both"/>
            </w:pPr>
            <w:r>
              <w:rPr>
                <w:b/>
                <w:bCs/>
                <w:sz w:val="19"/>
                <w:szCs w:val="19"/>
              </w:rPr>
              <w:t>Definitively proves</w:t>
            </w:r>
            <w:r>
              <w:rPr>
                <w:sz w:val="19"/>
                <w:szCs w:val="19"/>
              </w:rPr>
              <w:t xml:space="preserve"> that the primary driver of the stall was an administrative bottleneck, not a complete lack of organic market demand</w:t>
            </w:r>
            <w:hyperlink r:id="rId101" w:history="1">
              <w:r>
                <w:rPr>
                  <w:color w:val="C4921A"/>
                  <w:sz w:val="16"/>
                  <w:szCs w:val="16"/>
                  <w:u w:val="single" w:color="C4921A"/>
                  <w:vertAlign w:val="superscript"/>
                </w:rPr>
                <w:t>[42]</w:t>
              </w:r>
            </w:hyperlink>
          </w:p>
        </w:tc>
      </w:tr>
    </w:tbl>
    <w:p w14:paraId="0CB69499" w14:textId="77777777" w:rsidR="003D7881" w:rsidRDefault="003D7881" w:rsidP="00445CC5">
      <w:pPr>
        <w:spacing w:after="8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7FB52BC8" w14:textId="77777777">
        <w:tblPrEx>
          <w:tblCellMar>
            <w:top w:w="0" w:type="dxa"/>
            <w:bottom w:w="0" w:type="dxa"/>
          </w:tblCellMar>
        </w:tblPrEx>
        <w:tc>
          <w:tcPr>
            <w:tcW w:w="9000" w:type="dxa"/>
            <w:tcBorders>
              <w:top w:val="none" w:sz="0" w:space="0" w:color="FFFFFF"/>
              <w:left w:val="thick" w:sz="18" w:space="0" w:color="16A34A"/>
              <w:bottom w:val="none" w:sz="0" w:space="0" w:color="FFFFFF"/>
              <w:right w:val="none" w:sz="0" w:space="0" w:color="FFFFFF"/>
            </w:tcBorders>
            <w:shd w:val="clear" w:color="auto" w:fill="F0FDF4"/>
            <w:tcMar>
              <w:top w:w="130" w:type="dxa"/>
              <w:left w:w="220" w:type="dxa"/>
              <w:bottom w:w="130" w:type="dxa"/>
              <w:right w:w="160" w:type="dxa"/>
            </w:tcMar>
          </w:tcPr>
          <w:p w14:paraId="536F78D7" w14:textId="3B626FDF" w:rsidR="003D7881" w:rsidRDefault="00000000" w:rsidP="00445CC5">
            <w:pPr>
              <w:spacing w:after="100"/>
              <w:jc w:val="both"/>
            </w:pPr>
            <w:r>
              <w:rPr>
                <w:rFonts w:cs="Arial"/>
                <w:b/>
                <w:bCs/>
                <w:caps/>
                <w:color w:val="145A28"/>
                <w:sz w:val="17"/>
                <w:szCs w:val="17"/>
              </w:rPr>
              <w:t xml:space="preserve">Impact </w:t>
            </w:r>
            <w:r w:rsidR="00445CC5">
              <w:rPr>
                <w:rFonts w:cs="Arial"/>
                <w:b/>
                <w:bCs/>
                <w:caps/>
                <w:color w:val="145A28"/>
                <w:sz w:val="17"/>
                <w:szCs w:val="17"/>
              </w:rPr>
              <w:t>-</w:t>
            </w:r>
            <w:r>
              <w:rPr>
                <w:rFonts w:cs="Arial"/>
                <w:b/>
                <w:bCs/>
                <w:caps/>
                <w:color w:val="145A28"/>
                <w:sz w:val="17"/>
                <w:szCs w:val="17"/>
              </w:rPr>
              <w:t xml:space="preserve"> Positive</w:t>
            </w:r>
          </w:p>
          <w:p w14:paraId="767B9FFA" w14:textId="74C0C9D7" w:rsidR="003D7881" w:rsidRDefault="00000000" w:rsidP="00445CC5">
            <w:pPr>
              <w:spacing w:after="90"/>
              <w:jc w:val="both"/>
            </w:pPr>
            <w:r>
              <w:rPr>
                <w:rFonts w:cs="Arial"/>
                <w:sz w:val="19"/>
                <w:szCs w:val="19"/>
              </w:rPr>
              <w:t xml:space="preserve">Immediate market rebound on pent-up demand. However, permanent market stability and legal certainty still require </w:t>
            </w:r>
            <w:proofErr w:type="spellStart"/>
            <w:r>
              <w:rPr>
                <w:rFonts w:cs="Arial"/>
                <w:sz w:val="19"/>
                <w:szCs w:val="19"/>
              </w:rPr>
              <w:t>finalised</w:t>
            </w:r>
            <w:proofErr w:type="spellEnd"/>
            <w:r>
              <w:rPr>
                <w:rFonts w:cs="Arial"/>
                <w:sz w:val="19"/>
                <w:szCs w:val="19"/>
              </w:rPr>
              <w:t xml:space="preserve">, </w:t>
            </w:r>
            <w:proofErr w:type="spellStart"/>
            <w:r>
              <w:rPr>
                <w:rFonts w:cs="Arial"/>
                <w:sz w:val="19"/>
                <w:szCs w:val="19"/>
              </w:rPr>
              <w:t>digitised</w:t>
            </w:r>
            <w:proofErr w:type="spellEnd"/>
            <w:r>
              <w:rPr>
                <w:rFonts w:cs="Arial"/>
                <w:sz w:val="19"/>
                <w:szCs w:val="19"/>
              </w:rPr>
              <w:t xml:space="preserve">, and publicly accessible zoning maps. The third amendment merely delays the problem until mid-July 2026 </w:t>
            </w:r>
            <w:r w:rsidR="00445CC5">
              <w:rPr>
                <w:rFonts w:cs="Arial"/>
                <w:sz w:val="19"/>
                <w:szCs w:val="19"/>
              </w:rPr>
              <w:t>-</w:t>
            </w:r>
            <w:r>
              <w:rPr>
                <w:rFonts w:cs="Arial"/>
                <w:sz w:val="19"/>
                <w:szCs w:val="19"/>
              </w:rPr>
              <w:t xml:space="preserve"> without resolving the underlying administrative incapacity of local governments.</w:t>
            </w:r>
            <w:hyperlink r:id="rId102" w:history="1">
              <w:r>
                <w:rPr>
                  <w:rFonts w:cs="Arial"/>
                  <w:color w:val="C4921A"/>
                  <w:sz w:val="16"/>
                  <w:szCs w:val="16"/>
                  <w:u w:val="single" w:color="C4921A"/>
                  <w:vertAlign w:val="superscript"/>
                </w:rPr>
                <w:t>[32]</w:t>
              </w:r>
            </w:hyperlink>
          </w:p>
        </w:tc>
      </w:tr>
    </w:tbl>
    <w:p w14:paraId="645DA27F" w14:textId="77777777" w:rsidR="003D7881" w:rsidRDefault="003D7881" w:rsidP="00445CC5">
      <w:pPr>
        <w:spacing w:after="140"/>
        <w:jc w:val="both"/>
      </w:pPr>
    </w:p>
    <w:p w14:paraId="772FD24D" w14:textId="77777777" w:rsidR="003D7881" w:rsidRDefault="003D7881" w:rsidP="00445CC5">
      <w:pPr>
        <w:pBdr>
          <w:bottom w:val="single" w:sz="4" w:space="1" w:color="D6D0C8"/>
        </w:pBdr>
        <w:spacing w:before="240" w:after="240"/>
        <w:jc w:val="both"/>
      </w:pPr>
    </w:p>
    <w:p w14:paraId="00A3D0F5" w14:textId="77777777" w:rsidR="003D7881" w:rsidRDefault="00000000" w:rsidP="00445CC5">
      <w:pPr>
        <w:pBdr>
          <w:left w:val="thick" w:sz="14" w:space="10" w:color="065F46"/>
        </w:pBdr>
        <w:spacing w:before="280" w:after="60"/>
        <w:ind w:left="220"/>
        <w:jc w:val="both"/>
      </w:pPr>
      <w:r>
        <w:rPr>
          <w:rFonts w:cs="Arial"/>
          <w:b/>
          <w:bCs/>
          <w:color w:val="555555"/>
          <w:sz w:val="18"/>
          <w:szCs w:val="18"/>
        </w:rPr>
        <w:t xml:space="preserve">Q4 FY 2081/82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Q4 FY 2024/25 AD</w:t>
      </w:r>
      <w:r>
        <w:rPr>
          <w:rFonts w:cs="Arial"/>
          <w:sz w:val="18"/>
          <w:szCs w:val="18"/>
        </w:rPr>
        <w:t xml:space="preserve">        </w:t>
      </w:r>
      <w:r>
        <w:rPr>
          <w:rFonts w:cs="Arial"/>
          <w:b/>
          <w:bCs/>
          <w:color w:val="065F46"/>
          <w:sz w:val="18"/>
          <w:szCs w:val="18"/>
        </w:rPr>
        <w:t>◆ MARKET DATA</w:t>
      </w:r>
    </w:p>
    <w:p w14:paraId="2793F995" w14:textId="2722F6AD" w:rsidR="003D7881" w:rsidRDefault="00000000" w:rsidP="00445CC5">
      <w:pPr>
        <w:pBdr>
          <w:left w:val="thick" w:sz="14" w:space="10" w:color="DDDDDD"/>
        </w:pBdr>
        <w:spacing w:before="60" w:after="160"/>
        <w:ind w:left="220"/>
        <w:jc w:val="both"/>
      </w:pPr>
      <w:r>
        <w:rPr>
          <w:rFonts w:cs="Arial"/>
          <w:b/>
          <w:bCs/>
          <w:sz w:val="26"/>
          <w:szCs w:val="26"/>
        </w:rPr>
        <w:t xml:space="preserve">Annual Market Data: Nascent Policy-Driven Recovery </w:t>
      </w:r>
      <w:r w:rsidR="00445CC5">
        <w:rPr>
          <w:rFonts w:cs="Arial"/>
          <w:b/>
          <w:bCs/>
          <w:sz w:val="26"/>
          <w:szCs w:val="26"/>
        </w:rPr>
        <w:t>-</w:t>
      </w:r>
      <w:r>
        <w:rPr>
          <w:rFonts w:cs="Arial"/>
          <w:b/>
          <w:bCs/>
          <w:sz w:val="26"/>
          <w:szCs w:val="26"/>
        </w:rPr>
        <w:t xml:space="preserve"> 114,769 Transactions in One Quarter Confirms Suppressed Organic Demand</w:t>
      </w:r>
    </w:p>
    <w:p w14:paraId="72DA93E8" w14:textId="6F0803FA" w:rsidR="003D7881" w:rsidRDefault="00000000" w:rsidP="00445CC5">
      <w:pPr>
        <w:pBdr>
          <w:left w:val="thick" w:sz="6" w:space="10" w:color="EEEEEE"/>
        </w:pBdr>
        <w:spacing w:after="120"/>
        <w:ind w:left="220"/>
        <w:jc w:val="both"/>
      </w:pPr>
      <w:r>
        <w:rPr>
          <w:rFonts w:cs="Arial"/>
        </w:rPr>
        <w:t xml:space="preserve">The sharp Q4 uptick provided definitive empirical proof that organic demand was suppressed </w:t>
      </w:r>
      <w:r w:rsidR="00445CC5">
        <w:rPr>
          <w:rFonts w:cs="Arial"/>
        </w:rPr>
        <w:t>-</w:t>
      </w:r>
      <w:r>
        <w:rPr>
          <w:rFonts w:cs="Arial"/>
        </w:rPr>
        <w:t xml:space="preserve"> not absent </w:t>
      </w:r>
      <w:r w:rsidR="00445CC5">
        <w:rPr>
          <w:rFonts w:cs="Arial"/>
        </w:rPr>
        <w:t>-</w:t>
      </w:r>
      <w:r>
        <w:rPr>
          <w:rFonts w:cs="Arial"/>
        </w:rPr>
        <w:t xml:space="preserve"> throughout the stall period.</w:t>
      </w:r>
      <w:hyperlink r:id="rId103" w:history="1">
        <w:r>
          <w:rPr>
            <w:rFonts w:cs="Arial"/>
            <w:color w:val="C4921A"/>
            <w:sz w:val="16"/>
            <w:szCs w:val="16"/>
            <w:u w:val="single" w:color="C4921A"/>
            <w:vertAlign w:val="superscript"/>
          </w:rPr>
          <w:t>[59]</w:t>
        </w:r>
      </w:hyperlink>
      <w:hyperlink r:id="rId104" w:history="1">
        <w:r>
          <w:rPr>
            <w:rFonts w:cs="Arial"/>
            <w:color w:val="C4921A"/>
            <w:sz w:val="16"/>
            <w:szCs w:val="16"/>
            <w:u w:val="single" w:color="C4921A"/>
            <w:vertAlign w:val="superscript"/>
          </w:rPr>
          <w:t>[42]</w:t>
        </w:r>
      </w:hyperlink>
    </w:p>
    <w:p w14:paraId="46691B43"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14E38FB8" w14:textId="77777777">
        <w:tblPrEx>
          <w:tblCellMar>
            <w:top w:w="0" w:type="dxa"/>
            <w:bottom w:w="0" w:type="dxa"/>
          </w:tblCellMar>
        </w:tblPrEx>
        <w:tc>
          <w:tcPr>
            <w:tcW w:w="9000" w:type="dxa"/>
            <w:tcBorders>
              <w:top w:val="none" w:sz="0" w:space="0" w:color="FFFFFF"/>
              <w:left w:val="thick" w:sz="18" w:space="0" w:color="2E8B57"/>
              <w:bottom w:val="none" w:sz="0" w:space="0" w:color="FFFFFF"/>
              <w:right w:val="none" w:sz="0" w:space="0" w:color="FFFFFF"/>
            </w:tcBorders>
            <w:shd w:val="clear" w:color="auto" w:fill="F0FAF4"/>
            <w:tcMar>
              <w:top w:w="130" w:type="dxa"/>
              <w:left w:w="220" w:type="dxa"/>
              <w:bottom w:w="130" w:type="dxa"/>
              <w:right w:w="160" w:type="dxa"/>
            </w:tcMar>
          </w:tcPr>
          <w:p w14:paraId="4947B1AE" w14:textId="77777777" w:rsidR="003D7881" w:rsidRDefault="00000000" w:rsidP="00445CC5">
            <w:pPr>
              <w:spacing w:after="100"/>
              <w:jc w:val="both"/>
            </w:pPr>
            <w:r>
              <w:rPr>
                <w:rFonts w:cs="Arial"/>
                <w:b/>
                <w:bCs/>
                <w:caps/>
                <w:color w:val="1A5E3A"/>
                <w:sz w:val="17"/>
                <w:szCs w:val="17"/>
              </w:rPr>
              <w:t>Key Data</w:t>
            </w:r>
          </w:p>
          <w:p w14:paraId="5E783FF8" w14:textId="77777777" w:rsidR="003D7881" w:rsidRDefault="00000000" w:rsidP="00445CC5">
            <w:pPr>
              <w:pStyle w:val="ListParagraph"/>
              <w:numPr>
                <w:ilvl w:val="0"/>
                <w:numId w:val="2"/>
              </w:numPr>
              <w:spacing w:after="80"/>
              <w:jc w:val="both"/>
            </w:pPr>
            <w:r>
              <w:rPr>
                <w:b/>
                <w:bCs/>
                <w:sz w:val="19"/>
                <w:szCs w:val="19"/>
              </w:rPr>
              <w:t xml:space="preserve">Transactions (Q4 FY 2081/82, single quarter): </w:t>
            </w:r>
            <w:r>
              <w:rPr>
                <w:b/>
                <w:bCs/>
                <w:color w:val="166534"/>
                <w:sz w:val="19"/>
                <w:szCs w:val="19"/>
              </w:rPr>
              <w:t>114,769</w:t>
            </w:r>
          </w:p>
          <w:p w14:paraId="463AEC2D" w14:textId="77777777" w:rsidR="003D7881" w:rsidRDefault="00000000" w:rsidP="00445CC5">
            <w:pPr>
              <w:pStyle w:val="ListParagraph"/>
              <w:numPr>
                <w:ilvl w:val="0"/>
                <w:numId w:val="2"/>
              </w:numPr>
              <w:spacing w:after="80"/>
              <w:jc w:val="both"/>
            </w:pPr>
            <w:r>
              <w:rPr>
                <w:b/>
                <w:bCs/>
                <w:sz w:val="19"/>
                <w:szCs w:val="19"/>
              </w:rPr>
              <w:t xml:space="preserve">Government Revenue: </w:t>
            </w:r>
            <w:r>
              <w:rPr>
                <w:sz w:val="19"/>
                <w:szCs w:val="19"/>
              </w:rPr>
              <w:t xml:space="preserve">Rs. 15 </w:t>
            </w:r>
            <w:proofErr w:type="gramStart"/>
            <w:r>
              <w:rPr>
                <w:sz w:val="19"/>
                <w:szCs w:val="19"/>
              </w:rPr>
              <w:t>Billion</w:t>
            </w:r>
            <w:proofErr w:type="gramEnd"/>
            <w:r>
              <w:rPr>
                <w:sz w:val="19"/>
                <w:szCs w:val="19"/>
              </w:rPr>
              <w:t xml:space="preserve"> (quarterly average)</w:t>
            </w:r>
          </w:p>
          <w:p w14:paraId="5D836771" w14:textId="77777777" w:rsidR="003D7881" w:rsidRDefault="00000000" w:rsidP="00445CC5">
            <w:pPr>
              <w:pStyle w:val="ListParagraph"/>
              <w:numPr>
                <w:ilvl w:val="0"/>
                <w:numId w:val="2"/>
              </w:numPr>
              <w:spacing w:after="80"/>
              <w:jc w:val="both"/>
            </w:pPr>
            <w:r>
              <w:rPr>
                <w:b/>
                <w:bCs/>
                <w:sz w:val="19"/>
                <w:szCs w:val="19"/>
              </w:rPr>
              <w:t xml:space="preserve">Market Status: </w:t>
            </w:r>
            <w:r>
              <w:rPr>
                <w:sz w:val="19"/>
                <w:szCs w:val="19"/>
              </w:rPr>
              <w:t>Nascent Policy-Driven Recovery</w:t>
            </w:r>
          </w:p>
          <w:p w14:paraId="152445E0" w14:textId="77777777" w:rsidR="003D7881" w:rsidRDefault="00000000" w:rsidP="00445CC5">
            <w:pPr>
              <w:pStyle w:val="ListParagraph"/>
              <w:numPr>
                <w:ilvl w:val="0"/>
                <w:numId w:val="2"/>
              </w:numPr>
              <w:spacing w:after="80"/>
              <w:jc w:val="both"/>
            </w:pPr>
            <w:r>
              <w:rPr>
                <w:b/>
                <w:bCs/>
                <w:sz w:val="19"/>
                <w:szCs w:val="19"/>
              </w:rPr>
              <w:t xml:space="preserve">Construction sector's share of GDP: </w:t>
            </w:r>
            <w:r>
              <w:rPr>
                <w:sz w:val="19"/>
                <w:szCs w:val="19"/>
              </w:rPr>
              <w:t>approximately 6.5% nationally</w:t>
            </w:r>
            <w:hyperlink r:id="rId105" w:history="1">
              <w:r>
                <w:rPr>
                  <w:color w:val="C4921A"/>
                  <w:sz w:val="16"/>
                  <w:szCs w:val="16"/>
                  <w:u w:val="single" w:color="C4921A"/>
                  <w:vertAlign w:val="superscript"/>
                </w:rPr>
                <w:t>[60]</w:t>
              </w:r>
            </w:hyperlink>
          </w:p>
          <w:p w14:paraId="2B996477" w14:textId="77777777" w:rsidR="003D7881" w:rsidRDefault="00000000" w:rsidP="00445CC5">
            <w:pPr>
              <w:pStyle w:val="ListParagraph"/>
              <w:numPr>
                <w:ilvl w:val="0"/>
                <w:numId w:val="2"/>
              </w:numPr>
              <w:spacing w:after="80"/>
              <w:jc w:val="both"/>
            </w:pPr>
            <w:r>
              <w:rPr>
                <w:b/>
                <w:bCs/>
                <w:sz w:val="19"/>
                <w:szCs w:val="19"/>
              </w:rPr>
              <w:t xml:space="preserve">Annual formal housing supply in Kathmandu Valley: </w:t>
            </w:r>
            <w:r>
              <w:rPr>
                <w:sz w:val="19"/>
                <w:szCs w:val="19"/>
              </w:rPr>
              <w:t>historically well below the required 24,547 units/year</w:t>
            </w:r>
            <w:hyperlink r:id="rId106" w:history="1">
              <w:r>
                <w:rPr>
                  <w:color w:val="C4921A"/>
                  <w:sz w:val="16"/>
                  <w:szCs w:val="16"/>
                  <w:u w:val="single" w:color="C4921A"/>
                  <w:vertAlign w:val="superscript"/>
                </w:rPr>
                <w:t>[61]</w:t>
              </w:r>
            </w:hyperlink>
          </w:p>
          <w:p w14:paraId="36AFE4A6" w14:textId="77777777" w:rsidR="003D7881" w:rsidRDefault="00000000" w:rsidP="00445CC5">
            <w:pPr>
              <w:pStyle w:val="ListParagraph"/>
              <w:numPr>
                <w:ilvl w:val="0"/>
                <w:numId w:val="2"/>
              </w:numPr>
              <w:spacing w:after="80"/>
              <w:jc w:val="both"/>
            </w:pPr>
            <w:r>
              <w:rPr>
                <w:b/>
                <w:bCs/>
                <w:sz w:val="19"/>
                <w:szCs w:val="19"/>
              </w:rPr>
              <w:t xml:space="preserve">Madhesh Province: </w:t>
            </w:r>
            <w:r>
              <w:rPr>
                <w:sz w:val="19"/>
                <w:szCs w:val="19"/>
              </w:rPr>
              <w:t xml:space="preserve">consistently leads in transaction volume and area; </w:t>
            </w:r>
            <w:r>
              <w:rPr>
                <w:b/>
                <w:bCs/>
                <w:sz w:val="19"/>
                <w:szCs w:val="19"/>
              </w:rPr>
              <w:t xml:space="preserve">Bagmati Province: </w:t>
            </w:r>
            <w:r>
              <w:rPr>
                <w:sz w:val="19"/>
                <w:szCs w:val="19"/>
              </w:rPr>
              <w:t>highest declared monetary value</w:t>
            </w:r>
            <w:hyperlink r:id="rId107" w:history="1">
              <w:r>
                <w:rPr>
                  <w:color w:val="C4921A"/>
                  <w:sz w:val="16"/>
                  <w:szCs w:val="16"/>
                  <w:u w:val="single" w:color="C4921A"/>
                  <w:vertAlign w:val="superscript"/>
                </w:rPr>
                <w:t>[1]</w:t>
              </w:r>
            </w:hyperlink>
          </w:p>
        </w:tc>
      </w:tr>
    </w:tbl>
    <w:p w14:paraId="790D5065" w14:textId="77777777" w:rsidR="003D7881" w:rsidRDefault="003D7881" w:rsidP="00445CC5">
      <w:pPr>
        <w:spacing w:after="140"/>
        <w:jc w:val="both"/>
      </w:pPr>
    </w:p>
    <w:p w14:paraId="0ED228A2" w14:textId="77777777" w:rsidR="003D7881" w:rsidRDefault="003D7881" w:rsidP="00445CC5">
      <w:pPr>
        <w:pBdr>
          <w:bottom w:val="single" w:sz="4" w:space="1" w:color="D6D0C8"/>
        </w:pBdr>
        <w:spacing w:before="240" w:after="240"/>
        <w:jc w:val="both"/>
      </w:pPr>
    </w:p>
    <w:p w14:paraId="2F6D7E95" w14:textId="77777777" w:rsidR="003D7881" w:rsidRDefault="00000000" w:rsidP="00445CC5">
      <w:pPr>
        <w:pBdr>
          <w:left w:val="thick" w:sz="14" w:space="10" w:color="5B21B6"/>
        </w:pBdr>
        <w:spacing w:before="280" w:after="60"/>
        <w:ind w:left="220"/>
        <w:jc w:val="both"/>
      </w:pPr>
      <w:proofErr w:type="spellStart"/>
      <w:r>
        <w:rPr>
          <w:rFonts w:cs="Arial"/>
          <w:b/>
          <w:bCs/>
          <w:color w:val="555555"/>
          <w:sz w:val="18"/>
          <w:szCs w:val="18"/>
        </w:rPr>
        <w:t>Ashadh</w:t>
      </w:r>
      <w:proofErr w:type="spellEnd"/>
      <w:r>
        <w:rPr>
          <w:rFonts w:cs="Arial"/>
          <w:b/>
          <w:bCs/>
          <w:color w:val="555555"/>
          <w:sz w:val="18"/>
          <w:szCs w:val="18"/>
        </w:rPr>
        <w:t xml:space="preserve"> 2082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June 2025 AD</w:t>
      </w:r>
      <w:r>
        <w:rPr>
          <w:rFonts w:cs="Arial"/>
          <w:sz w:val="18"/>
          <w:szCs w:val="18"/>
        </w:rPr>
        <w:t xml:space="preserve">        </w:t>
      </w:r>
      <w:r>
        <w:rPr>
          <w:rFonts w:cs="Arial"/>
          <w:b/>
          <w:bCs/>
          <w:color w:val="5B21B6"/>
          <w:sz w:val="18"/>
          <w:szCs w:val="18"/>
        </w:rPr>
        <w:t>◆ JUDICIAL</w:t>
      </w:r>
    </w:p>
    <w:p w14:paraId="169DE8A8" w14:textId="49D9E40A" w:rsidR="003D7881" w:rsidRDefault="00000000" w:rsidP="00445CC5">
      <w:pPr>
        <w:pBdr>
          <w:left w:val="thick" w:sz="14" w:space="10" w:color="DDDDDD"/>
        </w:pBdr>
        <w:spacing w:before="60" w:after="160"/>
        <w:ind w:left="220"/>
        <w:jc w:val="both"/>
      </w:pPr>
      <w:r>
        <w:rPr>
          <w:rFonts w:cs="Arial"/>
          <w:b/>
          <w:bCs/>
          <w:sz w:val="26"/>
          <w:szCs w:val="26"/>
        </w:rPr>
        <w:t xml:space="preserve">Supreme Court: All Land Policy &amp; Infrastructure Must Comply with ILO Convention 169 and UNDRIP </w:t>
      </w:r>
      <w:r w:rsidR="00445CC5">
        <w:rPr>
          <w:rFonts w:cs="Arial"/>
          <w:b/>
          <w:bCs/>
          <w:sz w:val="26"/>
          <w:szCs w:val="26"/>
        </w:rPr>
        <w:t>-</w:t>
      </w:r>
      <w:r>
        <w:rPr>
          <w:rFonts w:cs="Arial"/>
          <w:b/>
          <w:bCs/>
          <w:sz w:val="26"/>
          <w:szCs w:val="26"/>
        </w:rPr>
        <w:t xml:space="preserve"> FPIC Required from Indigenous Peoples</w:t>
      </w:r>
    </w:p>
    <w:p w14:paraId="42F3364B" w14:textId="77777777" w:rsidR="003D7881" w:rsidRDefault="00000000" w:rsidP="00445CC5">
      <w:pPr>
        <w:pBdr>
          <w:left w:val="thick" w:sz="6" w:space="10" w:color="EEEEEE"/>
        </w:pBdr>
        <w:spacing w:after="120"/>
        <w:ind w:left="220"/>
        <w:jc w:val="both"/>
      </w:pPr>
      <w:r>
        <w:rPr>
          <w:rFonts w:cs="Arial"/>
        </w:rPr>
        <w:t xml:space="preserve">The Supreme Court ruled that all tiers of government must ensure future land policies and infrastructure programs comply with </w:t>
      </w:r>
      <w:r>
        <w:rPr>
          <w:rFonts w:cs="Arial"/>
          <w:b/>
          <w:bCs/>
        </w:rPr>
        <w:t>ILO Convention 169</w:t>
      </w:r>
      <w:r>
        <w:rPr>
          <w:rFonts w:cs="Arial"/>
        </w:rPr>
        <w:t xml:space="preserve"> and the </w:t>
      </w:r>
      <w:r>
        <w:rPr>
          <w:rFonts w:cs="Arial"/>
          <w:b/>
          <w:bCs/>
        </w:rPr>
        <w:t>U.N. Declaration on the Rights of Indigenous Peoples (UNDRIP).</w:t>
      </w:r>
      <w:hyperlink r:id="rId108" w:history="1">
        <w:r>
          <w:rPr>
            <w:rFonts w:cs="Arial"/>
            <w:color w:val="C4921A"/>
            <w:sz w:val="16"/>
            <w:szCs w:val="16"/>
            <w:u w:val="single" w:color="C4921A"/>
            <w:vertAlign w:val="superscript"/>
          </w:rPr>
          <w:t>[57]</w:t>
        </w:r>
      </w:hyperlink>
      <w:r>
        <w:rPr>
          <w:rFonts w:cs="Arial"/>
        </w:rPr>
        <w:t xml:space="preserve"> This crucially requires developers and the state to obtain </w:t>
      </w:r>
      <w:r>
        <w:rPr>
          <w:rFonts w:cs="Arial"/>
          <w:b/>
          <w:bCs/>
        </w:rPr>
        <w:t>Free, Prior and Informed Consent (FPIC)</w:t>
      </w:r>
      <w:r>
        <w:rPr>
          <w:rFonts w:cs="Arial"/>
        </w:rPr>
        <w:t xml:space="preserve"> from Indigenous peoples before initiating any projects that affect their traditional lands.</w:t>
      </w:r>
    </w:p>
    <w:p w14:paraId="0776BD1B"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60F2993B" w14:textId="77777777">
        <w:tblPrEx>
          <w:tblCellMar>
            <w:top w:w="0" w:type="dxa"/>
            <w:bottom w:w="0" w:type="dxa"/>
          </w:tblCellMar>
        </w:tblPrEx>
        <w:tc>
          <w:tcPr>
            <w:tcW w:w="9000" w:type="dxa"/>
            <w:tcBorders>
              <w:top w:val="none" w:sz="0" w:space="0" w:color="FFFFFF"/>
              <w:left w:val="thick" w:sz="18" w:space="0" w:color="D4813A"/>
              <w:bottom w:val="none" w:sz="0" w:space="0" w:color="FFFFFF"/>
              <w:right w:val="none" w:sz="0" w:space="0" w:color="FFFFFF"/>
            </w:tcBorders>
            <w:shd w:val="clear" w:color="auto" w:fill="FFF8F0"/>
            <w:tcMar>
              <w:top w:w="130" w:type="dxa"/>
              <w:left w:w="220" w:type="dxa"/>
              <w:bottom w:w="130" w:type="dxa"/>
              <w:right w:w="160" w:type="dxa"/>
            </w:tcMar>
          </w:tcPr>
          <w:p w14:paraId="714170D3" w14:textId="77777777" w:rsidR="003D7881" w:rsidRDefault="00000000" w:rsidP="00445CC5">
            <w:pPr>
              <w:spacing w:after="100"/>
              <w:jc w:val="both"/>
            </w:pPr>
            <w:r>
              <w:rPr>
                <w:rFonts w:cs="Arial"/>
                <w:b/>
                <w:bCs/>
                <w:caps/>
                <w:color w:val="A0522D"/>
                <w:sz w:val="17"/>
                <w:szCs w:val="17"/>
              </w:rPr>
              <w:t>Impact</w:t>
            </w:r>
          </w:p>
          <w:p w14:paraId="76923B72" w14:textId="77777777" w:rsidR="003D7881" w:rsidRDefault="00000000" w:rsidP="00445CC5">
            <w:pPr>
              <w:pStyle w:val="ListParagraph"/>
              <w:numPr>
                <w:ilvl w:val="0"/>
                <w:numId w:val="2"/>
              </w:numPr>
              <w:spacing w:after="80"/>
              <w:jc w:val="both"/>
            </w:pPr>
            <w:r>
              <w:rPr>
                <w:sz w:val="19"/>
                <w:szCs w:val="19"/>
              </w:rPr>
              <w:t>Added a mandatory, complex consent process significantly increasing time and procedural complexity of land development projects in indigenous areas</w:t>
            </w:r>
          </w:p>
          <w:p w14:paraId="62FF7AB9" w14:textId="77777777" w:rsidR="003D7881" w:rsidRDefault="00000000" w:rsidP="00445CC5">
            <w:pPr>
              <w:pStyle w:val="ListParagraph"/>
              <w:numPr>
                <w:ilvl w:val="0"/>
                <w:numId w:val="2"/>
              </w:numPr>
              <w:spacing w:after="80"/>
              <w:jc w:val="both"/>
            </w:pPr>
            <w:r>
              <w:rPr>
                <w:sz w:val="19"/>
                <w:szCs w:val="19"/>
              </w:rPr>
              <w:t>Together with the January 2025 protected area ruling, established a firm, unyielding legal frontier against commercial real estate expansion in ecologically and culturally sensitive regions</w:t>
            </w:r>
          </w:p>
          <w:p w14:paraId="7E140436" w14:textId="77777777" w:rsidR="003D7881" w:rsidRDefault="00000000" w:rsidP="00445CC5">
            <w:pPr>
              <w:pStyle w:val="ListParagraph"/>
              <w:numPr>
                <w:ilvl w:val="0"/>
                <w:numId w:val="2"/>
              </w:numPr>
              <w:spacing w:after="80"/>
              <w:jc w:val="both"/>
            </w:pPr>
            <w:r>
              <w:rPr>
                <w:sz w:val="19"/>
                <w:szCs w:val="19"/>
              </w:rPr>
              <w:t>While celebrated by conservationists and human rights advocates, these combined rulings definitively cap the supply of developable land across much of Nepal's natural and cultural heritage landscape</w:t>
            </w:r>
          </w:p>
        </w:tc>
      </w:tr>
    </w:tbl>
    <w:p w14:paraId="55ED51D0" w14:textId="77777777" w:rsidR="003D7881" w:rsidRDefault="003D7881" w:rsidP="00445CC5">
      <w:pPr>
        <w:spacing w:after="140"/>
        <w:jc w:val="both"/>
      </w:pPr>
    </w:p>
    <w:p w14:paraId="0C686930" w14:textId="77777777" w:rsidR="003D7881" w:rsidRDefault="003D7881" w:rsidP="00445CC5">
      <w:pPr>
        <w:pBdr>
          <w:bottom w:val="single" w:sz="4" w:space="1" w:color="D6D0C8"/>
        </w:pBdr>
        <w:spacing w:before="240" w:after="240"/>
        <w:jc w:val="both"/>
      </w:pPr>
    </w:p>
    <w:p w14:paraId="1C981B00" w14:textId="77777777" w:rsidR="003D7881" w:rsidRDefault="00000000" w:rsidP="00445CC5">
      <w:pPr>
        <w:pBdr>
          <w:left w:val="thick" w:sz="14" w:space="10" w:color="166534"/>
        </w:pBdr>
        <w:spacing w:before="280" w:after="60"/>
        <w:ind w:left="220"/>
        <w:jc w:val="both"/>
      </w:pPr>
      <w:r>
        <w:rPr>
          <w:rFonts w:cs="Arial"/>
          <w:b/>
          <w:bCs/>
          <w:color w:val="555555"/>
          <w:sz w:val="18"/>
          <w:szCs w:val="18"/>
        </w:rPr>
        <w:t xml:space="preserve">Late 2082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Late 2025 AD</w:t>
      </w:r>
      <w:r>
        <w:rPr>
          <w:rFonts w:cs="Arial"/>
          <w:sz w:val="18"/>
          <w:szCs w:val="18"/>
        </w:rPr>
        <w:t xml:space="preserve">        </w:t>
      </w:r>
      <w:r>
        <w:rPr>
          <w:rFonts w:cs="Arial"/>
          <w:b/>
          <w:bCs/>
          <w:color w:val="166534"/>
          <w:sz w:val="18"/>
          <w:szCs w:val="18"/>
        </w:rPr>
        <w:t>◆ RECOVERY / REFORM</w:t>
      </w:r>
    </w:p>
    <w:p w14:paraId="12508A32" w14:textId="05F06CC3" w:rsidR="003D7881" w:rsidRDefault="00000000" w:rsidP="00445CC5">
      <w:pPr>
        <w:pBdr>
          <w:left w:val="thick" w:sz="14" w:space="10" w:color="DDDDDD"/>
        </w:pBdr>
        <w:spacing w:before="60" w:after="160"/>
        <w:ind w:left="220"/>
        <w:jc w:val="both"/>
      </w:pPr>
      <w:r>
        <w:rPr>
          <w:rFonts w:cs="Arial"/>
          <w:b/>
          <w:bCs/>
          <w:sz w:val="26"/>
          <w:szCs w:val="26"/>
        </w:rPr>
        <w:t xml:space="preserve">STRUCTURAL REFORM </w:t>
      </w:r>
      <w:r w:rsidR="00445CC5">
        <w:rPr>
          <w:rFonts w:cs="Arial"/>
          <w:b/>
          <w:bCs/>
          <w:sz w:val="26"/>
          <w:szCs w:val="26"/>
        </w:rPr>
        <w:t>-</w:t>
      </w:r>
      <w:r>
        <w:rPr>
          <w:rFonts w:cs="Arial"/>
          <w:b/>
          <w:bCs/>
          <w:sz w:val="26"/>
          <w:szCs w:val="26"/>
        </w:rPr>
        <w:t xml:space="preserve"> Ninth Amendment to Land-Related Ordinance: Land Ceiling Removed for Housing Developers, Unlocking Rs. 200+ Billion in Stranded Capital</w:t>
      </w:r>
    </w:p>
    <w:p w14:paraId="36D266AC" w14:textId="77777777" w:rsidR="003D7881" w:rsidRDefault="00000000" w:rsidP="00445CC5">
      <w:pPr>
        <w:pBdr>
          <w:left w:val="thick" w:sz="6" w:space="10" w:color="EEEEEE"/>
        </w:pBdr>
        <w:spacing w:after="120"/>
        <w:ind w:left="220"/>
        <w:jc w:val="both"/>
      </w:pPr>
      <w:proofErr w:type="spellStart"/>
      <w:r>
        <w:rPr>
          <w:rFonts w:cs="Arial"/>
        </w:rPr>
        <w:t>Recognising</w:t>
      </w:r>
      <w:proofErr w:type="spellEnd"/>
      <w:r>
        <w:rPr>
          <w:rFonts w:cs="Arial"/>
        </w:rPr>
        <w:t xml:space="preserve"> the immense economic damage of freezing over Rs. 200 </w:t>
      </w:r>
      <w:proofErr w:type="gramStart"/>
      <w:r>
        <w:rPr>
          <w:rFonts w:cs="Arial"/>
        </w:rPr>
        <w:t>Billion</w:t>
      </w:r>
      <w:proofErr w:type="gramEnd"/>
      <w:r>
        <w:rPr>
          <w:rFonts w:cs="Arial"/>
        </w:rPr>
        <w:t xml:space="preserve"> in institutional capital, the government passed the </w:t>
      </w:r>
      <w:r>
        <w:rPr>
          <w:rFonts w:cs="Arial"/>
          <w:b/>
          <w:bCs/>
        </w:rPr>
        <w:t>Ninth Amendment to the Land-Related Ordinance</w:t>
      </w:r>
      <w:r>
        <w:rPr>
          <w:rFonts w:cs="Arial"/>
        </w:rPr>
        <w:t xml:space="preserve"> in late 2025. This pivotal amendment formally:</w:t>
      </w:r>
      <w:hyperlink r:id="rId109" w:history="1">
        <w:r>
          <w:rPr>
            <w:rFonts w:cs="Arial"/>
            <w:color w:val="C4921A"/>
            <w:sz w:val="16"/>
            <w:szCs w:val="16"/>
            <w:u w:val="single" w:color="C4921A"/>
            <w:vertAlign w:val="superscript"/>
          </w:rPr>
          <w:t>[45]</w:t>
        </w:r>
      </w:hyperlink>
      <w:hyperlink r:id="rId110" w:history="1">
        <w:r>
          <w:rPr>
            <w:rFonts w:cs="Arial"/>
            <w:color w:val="C4921A"/>
            <w:sz w:val="16"/>
            <w:szCs w:val="16"/>
            <w:u w:val="single" w:color="C4921A"/>
            <w:vertAlign w:val="superscript"/>
          </w:rPr>
          <w:t>[46]</w:t>
        </w:r>
      </w:hyperlink>
    </w:p>
    <w:p w14:paraId="40B9AB67" w14:textId="77777777" w:rsidR="003D7881" w:rsidRDefault="00000000" w:rsidP="00445CC5">
      <w:pPr>
        <w:pStyle w:val="ListParagraph"/>
        <w:numPr>
          <w:ilvl w:val="0"/>
          <w:numId w:val="3"/>
        </w:numPr>
        <w:pBdr>
          <w:left w:val="thick" w:sz="6" w:space="10" w:color="EEEEEE"/>
        </w:pBdr>
        <w:spacing w:after="80"/>
        <w:jc w:val="both"/>
      </w:pPr>
      <w:r>
        <w:rPr>
          <w:b/>
          <w:bCs/>
        </w:rPr>
        <w:t>Removed the land ceiling restrictions</w:t>
      </w:r>
      <w:r>
        <w:t xml:space="preserve"> for legitimate housing developers</w:t>
      </w:r>
    </w:p>
    <w:p w14:paraId="2DF15CDF" w14:textId="77777777" w:rsidR="003D7881" w:rsidRDefault="00000000" w:rsidP="00445CC5">
      <w:pPr>
        <w:pStyle w:val="ListParagraph"/>
        <w:numPr>
          <w:ilvl w:val="0"/>
          <w:numId w:val="3"/>
        </w:numPr>
        <w:pBdr>
          <w:left w:val="thick" w:sz="6" w:space="10" w:color="EEEEEE"/>
        </w:pBdr>
        <w:spacing w:after="80"/>
        <w:jc w:val="both"/>
      </w:pPr>
      <w:r>
        <w:t xml:space="preserve">Permitted the </w:t>
      </w:r>
      <w:r>
        <w:rPr>
          <w:b/>
          <w:bCs/>
        </w:rPr>
        <w:t>legal sale and ownership transfer</w:t>
      </w:r>
      <w:r>
        <w:t xml:space="preserve"> of residential units that had been stranded by archaic ceiling regulations</w:t>
      </w:r>
      <w:hyperlink r:id="rId111" w:history="1">
        <w:r>
          <w:rPr>
            <w:color w:val="C4921A"/>
            <w:sz w:val="16"/>
            <w:szCs w:val="16"/>
            <w:u w:val="single" w:color="C4921A"/>
            <w:vertAlign w:val="superscript"/>
          </w:rPr>
          <w:t>[47]</w:t>
        </w:r>
      </w:hyperlink>
    </w:p>
    <w:p w14:paraId="1F84914F"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2D1D1A7F" w14:textId="77777777">
        <w:tblPrEx>
          <w:tblCellMar>
            <w:top w:w="0" w:type="dxa"/>
            <w:bottom w:w="0" w:type="dxa"/>
          </w:tblCellMar>
        </w:tblPrEx>
        <w:tc>
          <w:tcPr>
            <w:tcW w:w="9000" w:type="dxa"/>
            <w:tcBorders>
              <w:top w:val="none" w:sz="0" w:space="0" w:color="FFFFFF"/>
              <w:left w:val="thick" w:sz="18" w:space="0" w:color="16A34A"/>
              <w:bottom w:val="none" w:sz="0" w:space="0" w:color="FFFFFF"/>
              <w:right w:val="none" w:sz="0" w:space="0" w:color="FFFFFF"/>
            </w:tcBorders>
            <w:shd w:val="clear" w:color="auto" w:fill="F0FDF4"/>
            <w:tcMar>
              <w:top w:w="130" w:type="dxa"/>
              <w:left w:w="220" w:type="dxa"/>
              <w:bottom w:w="130" w:type="dxa"/>
              <w:right w:w="160" w:type="dxa"/>
            </w:tcMar>
          </w:tcPr>
          <w:p w14:paraId="3BC74350" w14:textId="706956C2" w:rsidR="003D7881" w:rsidRDefault="00000000" w:rsidP="00445CC5">
            <w:pPr>
              <w:spacing w:after="100"/>
              <w:jc w:val="both"/>
            </w:pPr>
            <w:r>
              <w:rPr>
                <w:rFonts w:cs="Arial"/>
                <w:b/>
                <w:bCs/>
                <w:caps/>
                <w:color w:val="145A28"/>
                <w:sz w:val="17"/>
                <w:szCs w:val="17"/>
              </w:rPr>
              <w:t xml:space="preserve">Impact </w:t>
            </w:r>
            <w:r w:rsidR="00445CC5">
              <w:rPr>
                <w:rFonts w:cs="Arial"/>
                <w:b/>
                <w:bCs/>
                <w:caps/>
                <w:color w:val="145A28"/>
                <w:sz w:val="17"/>
                <w:szCs w:val="17"/>
              </w:rPr>
              <w:t>-</w:t>
            </w:r>
            <w:r>
              <w:rPr>
                <w:rFonts w:cs="Arial"/>
                <w:b/>
                <w:bCs/>
                <w:caps/>
                <w:color w:val="145A28"/>
                <w:sz w:val="17"/>
                <w:szCs w:val="17"/>
              </w:rPr>
              <w:t xml:space="preserve"> Positive</w:t>
            </w:r>
          </w:p>
          <w:p w14:paraId="666E3611" w14:textId="67BB8710" w:rsidR="003D7881" w:rsidRDefault="00000000" w:rsidP="00445CC5">
            <w:pPr>
              <w:spacing w:after="90"/>
              <w:jc w:val="both"/>
            </w:pPr>
            <w:r>
              <w:rPr>
                <w:rFonts w:cs="Arial"/>
                <w:sz w:val="19"/>
                <w:szCs w:val="19"/>
              </w:rPr>
              <w:t xml:space="preserve">This structural legal reform is </w:t>
            </w:r>
            <w:r>
              <w:rPr>
                <w:rFonts w:cs="Arial"/>
                <w:b/>
                <w:bCs/>
                <w:sz w:val="19"/>
                <w:szCs w:val="19"/>
              </w:rPr>
              <w:t>widely anticipated to be a major, necessary catalyst</w:t>
            </w:r>
            <w:r>
              <w:rPr>
                <w:rFonts w:cs="Arial"/>
                <w:sz w:val="19"/>
                <w:szCs w:val="19"/>
              </w:rPr>
              <w:t xml:space="preserve"> for the long-term revival of large-scale, </w:t>
            </w:r>
            <w:proofErr w:type="spellStart"/>
            <w:r>
              <w:rPr>
                <w:rFonts w:cs="Arial"/>
                <w:sz w:val="19"/>
                <w:szCs w:val="19"/>
              </w:rPr>
              <w:t>formalised</w:t>
            </w:r>
            <w:proofErr w:type="spellEnd"/>
            <w:r>
              <w:rPr>
                <w:rFonts w:cs="Arial"/>
                <w:sz w:val="19"/>
                <w:szCs w:val="19"/>
              </w:rPr>
              <w:t xml:space="preserve"> </w:t>
            </w:r>
            <w:proofErr w:type="spellStart"/>
            <w:r>
              <w:rPr>
                <w:rFonts w:cs="Arial"/>
                <w:sz w:val="19"/>
                <w:szCs w:val="19"/>
              </w:rPr>
              <w:t>organised</w:t>
            </w:r>
            <w:proofErr w:type="spellEnd"/>
            <w:r>
              <w:rPr>
                <w:rFonts w:cs="Arial"/>
                <w:sz w:val="19"/>
                <w:szCs w:val="19"/>
              </w:rPr>
              <w:t xml:space="preserve"> housing development in Nepal. Unlocking Rs. 200+ Billion in previously stranded capital could significantly increase the supply of formal housing units </w:t>
            </w:r>
            <w:r w:rsidR="00445CC5">
              <w:rPr>
                <w:rFonts w:cs="Arial"/>
                <w:sz w:val="19"/>
                <w:szCs w:val="19"/>
              </w:rPr>
              <w:t>-</w:t>
            </w:r>
            <w:r>
              <w:rPr>
                <w:rFonts w:cs="Arial"/>
                <w:sz w:val="19"/>
                <w:szCs w:val="19"/>
              </w:rPr>
              <w:t xml:space="preserve"> directly alleviating spatial imbalances in the Kathmandu Valley where annual supply has historically been well below the required 24,547 units.</w:t>
            </w:r>
            <w:hyperlink r:id="rId112" w:history="1">
              <w:r>
                <w:rPr>
                  <w:rFonts w:cs="Arial"/>
                  <w:color w:val="C4921A"/>
                  <w:sz w:val="16"/>
                  <w:szCs w:val="16"/>
                  <w:u w:val="single" w:color="C4921A"/>
                  <w:vertAlign w:val="superscript"/>
                </w:rPr>
                <w:t>[22]</w:t>
              </w:r>
            </w:hyperlink>
          </w:p>
        </w:tc>
      </w:tr>
    </w:tbl>
    <w:p w14:paraId="508E3854" w14:textId="77777777" w:rsidR="003D7881" w:rsidRDefault="003D7881" w:rsidP="00445CC5">
      <w:pPr>
        <w:spacing w:after="140"/>
        <w:jc w:val="both"/>
      </w:pPr>
    </w:p>
    <w:p w14:paraId="7B13BF36" w14:textId="77777777" w:rsidR="003D7881" w:rsidRDefault="003D7881" w:rsidP="00445CC5">
      <w:pPr>
        <w:pBdr>
          <w:bottom w:val="single" w:sz="4" w:space="1" w:color="D6D0C8"/>
        </w:pBdr>
        <w:spacing w:before="240" w:after="240"/>
        <w:jc w:val="both"/>
      </w:pPr>
    </w:p>
    <w:p w14:paraId="3F9B6C82" w14:textId="77777777" w:rsidR="003D7881" w:rsidRDefault="00000000" w:rsidP="00445CC5">
      <w:pPr>
        <w:pBdr>
          <w:left w:val="thick" w:sz="14" w:space="10" w:color="166534"/>
        </w:pBdr>
        <w:spacing w:before="280" w:after="60"/>
        <w:ind w:left="220"/>
        <w:jc w:val="both"/>
      </w:pPr>
      <w:r>
        <w:rPr>
          <w:rFonts w:cs="Arial"/>
          <w:b/>
          <w:bCs/>
          <w:color w:val="555555"/>
          <w:sz w:val="18"/>
          <w:szCs w:val="18"/>
        </w:rPr>
        <w:t xml:space="preserve">Magh 2082 </w:t>
      </w:r>
      <w:proofErr w:type="gramStart"/>
      <w:r>
        <w:rPr>
          <w:rFonts w:cs="Arial"/>
          <w:b/>
          <w:bCs/>
          <w:color w:val="555555"/>
          <w:sz w:val="18"/>
          <w:szCs w:val="18"/>
        </w:rPr>
        <w:t>BS</w:t>
      </w:r>
      <w:r>
        <w:rPr>
          <w:rFonts w:cs="Arial"/>
          <w:color w:val="AAAAAA"/>
          <w:sz w:val="18"/>
          <w:szCs w:val="18"/>
        </w:rPr>
        <w:t xml:space="preserve">  ·</w:t>
      </w:r>
      <w:proofErr w:type="gramEnd"/>
      <w:r>
        <w:rPr>
          <w:rFonts w:cs="Arial"/>
          <w:color w:val="AAAAAA"/>
          <w:sz w:val="18"/>
          <w:szCs w:val="18"/>
        </w:rPr>
        <w:t xml:space="preserve">  </w:t>
      </w:r>
      <w:r>
        <w:rPr>
          <w:rFonts w:cs="Arial"/>
          <w:b/>
          <w:bCs/>
          <w:color w:val="555555"/>
          <w:sz w:val="18"/>
          <w:szCs w:val="18"/>
        </w:rPr>
        <w:t>January 2026 AD</w:t>
      </w:r>
      <w:r>
        <w:rPr>
          <w:rFonts w:cs="Arial"/>
          <w:sz w:val="18"/>
          <w:szCs w:val="18"/>
        </w:rPr>
        <w:t xml:space="preserve">        </w:t>
      </w:r>
      <w:r>
        <w:rPr>
          <w:rFonts w:cs="Arial"/>
          <w:b/>
          <w:bCs/>
          <w:color w:val="166534"/>
          <w:sz w:val="18"/>
          <w:szCs w:val="18"/>
        </w:rPr>
        <w:t>◆ RECOVERY / REFORM</w:t>
      </w:r>
    </w:p>
    <w:p w14:paraId="489E94A9" w14:textId="52254C80" w:rsidR="003D7881" w:rsidRDefault="00000000" w:rsidP="00445CC5">
      <w:pPr>
        <w:pBdr>
          <w:left w:val="thick" w:sz="14" w:space="10" w:color="DDDDDD"/>
        </w:pBdr>
        <w:spacing w:before="60" w:after="160"/>
        <w:ind w:left="220"/>
        <w:jc w:val="both"/>
      </w:pPr>
      <w:r>
        <w:rPr>
          <w:rFonts w:cs="Arial"/>
          <w:b/>
          <w:bCs/>
          <w:sz w:val="26"/>
          <w:szCs w:val="26"/>
        </w:rPr>
        <w:t xml:space="preserve">Supreme Court Full Bench Overturns December 2023 Riverbank Ruling </w:t>
      </w:r>
      <w:r w:rsidR="00445CC5">
        <w:rPr>
          <w:rFonts w:cs="Arial"/>
          <w:b/>
          <w:bCs/>
          <w:sz w:val="26"/>
          <w:szCs w:val="26"/>
        </w:rPr>
        <w:t>-</w:t>
      </w:r>
      <w:r>
        <w:rPr>
          <w:rFonts w:cs="Arial"/>
          <w:b/>
          <w:bCs/>
          <w:sz w:val="26"/>
          <w:szCs w:val="26"/>
        </w:rPr>
        <w:t xml:space="preserve"> Scraps Additional 20-Metre Setback as "Inconsistent with Law and Justice," Restores 2008 Standard</w:t>
      </w:r>
    </w:p>
    <w:p w14:paraId="06BA04A5" w14:textId="77777777" w:rsidR="003D7881" w:rsidRDefault="00000000" w:rsidP="00445CC5">
      <w:pPr>
        <w:pBdr>
          <w:left w:val="thick" w:sz="6" w:space="10" w:color="EEEEEE"/>
        </w:pBdr>
        <w:spacing w:after="120"/>
        <w:ind w:left="220"/>
        <w:jc w:val="both"/>
      </w:pPr>
      <w:r>
        <w:rPr>
          <w:rFonts w:cs="Arial"/>
        </w:rPr>
        <w:t xml:space="preserve">Following intense public backlash, legal maneuvering, and the government's review petition through the Attorney General's Office, a </w:t>
      </w:r>
      <w:r>
        <w:rPr>
          <w:rFonts w:cs="Arial"/>
          <w:b/>
          <w:bCs/>
        </w:rPr>
        <w:t>full bench of the Supreme Court</w:t>
      </w:r>
      <w:r>
        <w:rPr>
          <w:rFonts w:cs="Arial"/>
        </w:rPr>
        <w:t xml:space="preserve"> intervened in January 2026.</w:t>
      </w:r>
      <w:hyperlink r:id="rId113" w:history="1">
        <w:r>
          <w:rPr>
            <w:rFonts w:cs="Arial"/>
            <w:color w:val="C4921A"/>
            <w:sz w:val="16"/>
            <w:szCs w:val="16"/>
            <w:u w:val="single" w:color="C4921A"/>
            <w:vertAlign w:val="superscript"/>
          </w:rPr>
          <w:t>[5]</w:t>
        </w:r>
      </w:hyperlink>
      <w:hyperlink r:id="rId114" w:history="1">
        <w:r>
          <w:rPr>
            <w:rFonts w:cs="Arial"/>
            <w:color w:val="C4921A"/>
            <w:sz w:val="16"/>
            <w:szCs w:val="16"/>
            <w:u w:val="single" w:color="C4921A"/>
            <w:vertAlign w:val="superscript"/>
          </w:rPr>
          <w:t>[49]</w:t>
        </w:r>
      </w:hyperlink>
      <w:r>
        <w:rPr>
          <w:rFonts w:cs="Arial"/>
        </w:rPr>
        <w:t xml:space="preserve"> The full bench ruled that the additional 20-metre requirement was </w:t>
      </w:r>
      <w:r>
        <w:rPr>
          <w:rFonts w:cs="Arial"/>
          <w:i/>
          <w:iCs/>
        </w:rPr>
        <w:t>"inconsistent with law and justice,"</w:t>
      </w:r>
      <w:r>
        <w:rPr>
          <w:rFonts w:cs="Arial"/>
        </w:rPr>
        <w:t xml:space="preserve"> thereby:</w:t>
      </w:r>
      <w:hyperlink r:id="rId115" w:history="1">
        <w:r>
          <w:rPr>
            <w:rFonts w:cs="Arial"/>
            <w:color w:val="C4921A"/>
            <w:sz w:val="16"/>
            <w:szCs w:val="16"/>
            <w:u w:val="single" w:color="C4921A"/>
            <w:vertAlign w:val="superscript"/>
          </w:rPr>
          <w:t>[50]</w:t>
        </w:r>
      </w:hyperlink>
    </w:p>
    <w:p w14:paraId="2950DAFA" w14:textId="77777777" w:rsidR="003D7881" w:rsidRDefault="00000000" w:rsidP="00445CC5">
      <w:pPr>
        <w:pStyle w:val="ListParagraph"/>
        <w:numPr>
          <w:ilvl w:val="0"/>
          <w:numId w:val="3"/>
        </w:numPr>
        <w:pBdr>
          <w:left w:val="thick" w:sz="6" w:space="10" w:color="EEEEEE"/>
        </w:pBdr>
        <w:spacing w:after="80"/>
        <w:jc w:val="both"/>
      </w:pPr>
      <w:r>
        <w:rPr>
          <w:b/>
          <w:bCs/>
        </w:rPr>
        <w:t>Scrapping the new 20-metre restriction</w:t>
      </w:r>
      <w:r>
        <w:t xml:space="preserve"> added in December 2023</w:t>
      </w:r>
    </w:p>
    <w:p w14:paraId="1DED62AB" w14:textId="77777777" w:rsidR="003D7881" w:rsidRDefault="00000000" w:rsidP="00445CC5">
      <w:pPr>
        <w:pStyle w:val="ListParagraph"/>
        <w:numPr>
          <w:ilvl w:val="0"/>
          <w:numId w:val="3"/>
        </w:numPr>
        <w:pBdr>
          <w:left w:val="thick" w:sz="6" w:space="10" w:color="EEEEEE"/>
        </w:pBdr>
        <w:spacing w:after="80"/>
        <w:jc w:val="both"/>
      </w:pPr>
      <w:r>
        <w:rPr>
          <w:b/>
          <w:bCs/>
        </w:rPr>
        <w:t>Restoring the original 2008 20-metre standard</w:t>
      </w:r>
    </w:p>
    <w:p w14:paraId="36EEF64A" w14:textId="77777777" w:rsidR="003D7881" w:rsidRDefault="00000000" w:rsidP="00445CC5">
      <w:pPr>
        <w:pStyle w:val="ListParagraph"/>
        <w:numPr>
          <w:ilvl w:val="0"/>
          <w:numId w:val="3"/>
        </w:numPr>
        <w:pBdr>
          <w:left w:val="thick" w:sz="6" w:space="10" w:color="EEEEEE"/>
        </w:pBdr>
        <w:spacing w:after="80"/>
        <w:jc w:val="both"/>
      </w:pPr>
      <w:r>
        <w:rPr>
          <w:b/>
          <w:bCs/>
        </w:rPr>
        <w:t>Reinstating crucial legal clarity</w:t>
      </w:r>
      <w:r>
        <w:t xml:space="preserve"> to thousands of riverbank property owners</w:t>
      </w:r>
    </w:p>
    <w:p w14:paraId="086B4941" w14:textId="77777777" w:rsidR="003D7881" w:rsidRDefault="003D7881" w:rsidP="00445CC5">
      <w:pPr>
        <w:spacing w:after="10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3D7881" w14:paraId="67763D09" w14:textId="77777777">
        <w:tblPrEx>
          <w:tblCellMar>
            <w:top w:w="0" w:type="dxa"/>
            <w:bottom w:w="0" w:type="dxa"/>
          </w:tblCellMar>
        </w:tblPrEx>
        <w:tc>
          <w:tcPr>
            <w:tcW w:w="9000" w:type="dxa"/>
            <w:tcBorders>
              <w:top w:val="none" w:sz="0" w:space="0" w:color="FFFFFF"/>
              <w:left w:val="thick" w:sz="18" w:space="0" w:color="16A34A"/>
              <w:bottom w:val="none" w:sz="0" w:space="0" w:color="FFFFFF"/>
              <w:right w:val="none" w:sz="0" w:space="0" w:color="FFFFFF"/>
            </w:tcBorders>
            <w:shd w:val="clear" w:color="auto" w:fill="F0FDF4"/>
            <w:tcMar>
              <w:top w:w="130" w:type="dxa"/>
              <w:left w:w="220" w:type="dxa"/>
              <w:bottom w:w="130" w:type="dxa"/>
              <w:right w:w="160" w:type="dxa"/>
            </w:tcMar>
          </w:tcPr>
          <w:p w14:paraId="16E60A53" w14:textId="7628AE8E" w:rsidR="003D7881" w:rsidRDefault="00000000" w:rsidP="00445CC5">
            <w:pPr>
              <w:spacing w:after="100"/>
              <w:jc w:val="both"/>
            </w:pPr>
            <w:r>
              <w:rPr>
                <w:rFonts w:cs="Arial"/>
                <w:b/>
                <w:bCs/>
                <w:caps/>
                <w:color w:val="145A28"/>
                <w:sz w:val="17"/>
                <w:szCs w:val="17"/>
              </w:rPr>
              <w:lastRenderedPageBreak/>
              <w:t xml:space="preserve">Impact </w:t>
            </w:r>
            <w:r w:rsidR="00445CC5">
              <w:rPr>
                <w:rFonts w:cs="Arial"/>
                <w:b/>
                <w:bCs/>
                <w:caps/>
                <w:color w:val="145A28"/>
                <w:sz w:val="17"/>
                <w:szCs w:val="17"/>
              </w:rPr>
              <w:t>-</w:t>
            </w:r>
            <w:r>
              <w:rPr>
                <w:rFonts w:cs="Arial"/>
                <w:b/>
                <w:bCs/>
                <w:caps/>
                <w:color w:val="145A28"/>
                <w:sz w:val="17"/>
                <w:szCs w:val="17"/>
              </w:rPr>
              <w:t xml:space="preserve"> Positive</w:t>
            </w:r>
          </w:p>
          <w:p w14:paraId="1226BF1D" w14:textId="77777777" w:rsidR="003D7881" w:rsidRDefault="00000000" w:rsidP="00445CC5">
            <w:pPr>
              <w:pStyle w:val="ListParagraph"/>
              <w:numPr>
                <w:ilvl w:val="0"/>
                <w:numId w:val="2"/>
              </w:numPr>
              <w:spacing w:after="80"/>
              <w:jc w:val="both"/>
            </w:pPr>
            <w:r>
              <w:rPr>
                <w:sz w:val="19"/>
                <w:szCs w:val="19"/>
              </w:rPr>
              <w:t>Restored legal certainty to riverside property markets in the Kathmandu Valley</w:t>
            </w:r>
          </w:p>
          <w:p w14:paraId="737E6E69" w14:textId="77777777" w:rsidR="003D7881" w:rsidRDefault="00000000" w:rsidP="00445CC5">
            <w:pPr>
              <w:pStyle w:val="ListParagraph"/>
              <w:numPr>
                <w:ilvl w:val="0"/>
                <w:numId w:val="2"/>
              </w:numPr>
              <w:spacing w:after="80"/>
              <w:jc w:val="both"/>
            </w:pPr>
            <w:r>
              <w:rPr>
                <w:sz w:val="19"/>
                <w:szCs w:val="19"/>
              </w:rPr>
              <w:t xml:space="preserve">Removed the threat of retroactive </w:t>
            </w:r>
            <w:proofErr w:type="spellStart"/>
            <w:r>
              <w:rPr>
                <w:sz w:val="19"/>
                <w:szCs w:val="19"/>
              </w:rPr>
              <w:t>criminalisation</w:t>
            </w:r>
            <w:proofErr w:type="spellEnd"/>
            <w:r>
              <w:rPr>
                <w:sz w:val="19"/>
                <w:szCs w:val="19"/>
              </w:rPr>
              <w:t xml:space="preserve"> of thousands of previously legal structures</w:t>
            </w:r>
          </w:p>
          <w:p w14:paraId="545E98CC" w14:textId="77777777" w:rsidR="003D7881" w:rsidRDefault="00000000" w:rsidP="00445CC5">
            <w:pPr>
              <w:pStyle w:val="ListParagraph"/>
              <w:numPr>
                <w:ilvl w:val="0"/>
                <w:numId w:val="2"/>
              </w:numPr>
              <w:spacing w:after="80"/>
              <w:jc w:val="both"/>
            </w:pPr>
            <w:r>
              <w:rPr>
                <w:sz w:val="19"/>
                <w:szCs w:val="19"/>
              </w:rPr>
              <w:t>Allowed municipal map approvals that had been halted since December 2023 to resume</w:t>
            </w:r>
          </w:p>
          <w:p w14:paraId="4C189E1B" w14:textId="77777777" w:rsidR="003D7881" w:rsidRDefault="00000000" w:rsidP="00445CC5">
            <w:pPr>
              <w:pStyle w:val="ListParagraph"/>
              <w:numPr>
                <w:ilvl w:val="0"/>
                <w:numId w:val="2"/>
              </w:numPr>
              <w:spacing w:after="80"/>
              <w:jc w:val="both"/>
            </w:pPr>
            <w:r>
              <w:rPr>
                <w:sz w:val="19"/>
                <w:szCs w:val="19"/>
              </w:rPr>
              <w:t>Provided a significant positive shock to market confidence in riverine corridors</w:t>
            </w:r>
          </w:p>
        </w:tc>
      </w:tr>
    </w:tbl>
    <w:p w14:paraId="3E106A32" w14:textId="77777777" w:rsidR="003D7881" w:rsidRDefault="003D7881" w:rsidP="00445CC5">
      <w:pPr>
        <w:spacing w:after="200"/>
        <w:jc w:val="both"/>
      </w:pPr>
    </w:p>
    <w:p w14:paraId="16C6D789" w14:textId="2C7B8C8C" w:rsidR="003D7881" w:rsidRDefault="00000000" w:rsidP="00445CC5">
      <w:pPr>
        <w:spacing w:before="400" w:after="200"/>
        <w:jc w:val="both"/>
      </w:pPr>
      <w:r>
        <w:rPr>
          <w:rFonts w:cs="Arial"/>
          <w:b/>
          <w:bCs/>
          <w:sz w:val="28"/>
          <w:szCs w:val="28"/>
        </w:rPr>
        <w:t xml:space="preserve">DECADE AT A GLANCE </w:t>
      </w:r>
      <w:r w:rsidR="00445CC5">
        <w:rPr>
          <w:rFonts w:cs="Arial"/>
          <w:b/>
          <w:bCs/>
          <w:sz w:val="28"/>
          <w:szCs w:val="28"/>
        </w:rPr>
        <w:t>-</w:t>
      </w:r>
      <w:r>
        <w:rPr>
          <w:rFonts w:cs="Arial"/>
          <w:b/>
          <w:bCs/>
          <w:sz w:val="28"/>
          <w:szCs w:val="28"/>
        </w:rPr>
        <w:t xml:space="preserve"> Annual Market Data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15"/>
        <w:gridCol w:w="1980"/>
        <w:gridCol w:w="1605"/>
        <w:gridCol w:w="2100"/>
        <w:gridCol w:w="2060"/>
      </w:tblGrid>
      <w:tr w:rsidR="003D7881" w14:paraId="1580A703" w14:textId="77777777" w:rsidTr="00836EBE">
        <w:tblPrEx>
          <w:tblCellMar>
            <w:top w:w="0" w:type="dxa"/>
            <w:bottom w:w="0" w:type="dxa"/>
          </w:tblCellMar>
        </w:tblPrEx>
        <w:tc>
          <w:tcPr>
            <w:tcW w:w="1615" w:type="dxa"/>
            <w:tcBorders>
              <w:top w:val="single" w:sz="4" w:space="0" w:color="AAAAAA"/>
              <w:left w:val="single" w:sz="4" w:space="0" w:color="AAAAAA"/>
              <w:bottom w:val="single" w:sz="4" w:space="0" w:color="AAAAAA"/>
              <w:right w:val="single" w:sz="4" w:space="0" w:color="AAAAAA"/>
            </w:tcBorders>
            <w:shd w:val="clear" w:color="auto" w:fill="2C2C2C"/>
            <w:tcMar>
              <w:top w:w="80" w:type="dxa"/>
              <w:left w:w="120" w:type="dxa"/>
              <w:bottom w:w="80" w:type="dxa"/>
              <w:right w:w="120" w:type="dxa"/>
            </w:tcMar>
          </w:tcPr>
          <w:p w14:paraId="65474E4D" w14:textId="77777777" w:rsidR="003D7881" w:rsidRDefault="00000000" w:rsidP="00445CC5">
            <w:pPr>
              <w:jc w:val="both"/>
            </w:pPr>
            <w:r>
              <w:rPr>
                <w:rFonts w:cs="Arial"/>
                <w:b/>
                <w:bCs/>
                <w:color w:val="FFFFFF"/>
                <w:sz w:val="19"/>
                <w:szCs w:val="19"/>
              </w:rPr>
              <w:t>Fiscal Year (BS / AD)</w:t>
            </w:r>
          </w:p>
        </w:tc>
        <w:tc>
          <w:tcPr>
            <w:tcW w:w="1980" w:type="dxa"/>
            <w:tcBorders>
              <w:top w:val="single" w:sz="4" w:space="0" w:color="AAAAAA"/>
              <w:left w:val="single" w:sz="4" w:space="0" w:color="AAAAAA"/>
              <w:bottom w:val="single" w:sz="4" w:space="0" w:color="AAAAAA"/>
              <w:right w:val="single" w:sz="4" w:space="0" w:color="AAAAAA"/>
            </w:tcBorders>
            <w:shd w:val="clear" w:color="auto" w:fill="2C2C2C"/>
            <w:tcMar>
              <w:top w:w="80" w:type="dxa"/>
              <w:left w:w="120" w:type="dxa"/>
              <w:bottom w:w="80" w:type="dxa"/>
              <w:right w:w="120" w:type="dxa"/>
            </w:tcMar>
          </w:tcPr>
          <w:p w14:paraId="7B93CE44" w14:textId="77777777" w:rsidR="003D7881" w:rsidRDefault="00000000" w:rsidP="00445CC5">
            <w:pPr>
              <w:jc w:val="both"/>
            </w:pPr>
            <w:r>
              <w:rPr>
                <w:rFonts w:cs="Arial"/>
                <w:b/>
                <w:bCs/>
                <w:color w:val="FFFFFF"/>
                <w:sz w:val="19"/>
                <w:szCs w:val="19"/>
              </w:rPr>
              <w:t>Total Deeds</w:t>
            </w:r>
          </w:p>
        </w:tc>
        <w:tc>
          <w:tcPr>
            <w:tcW w:w="1605" w:type="dxa"/>
            <w:tcBorders>
              <w:top w:val="single" w:sz="4" w:space="0" w:color="AAAAAA"/>
              <w:left w:val="single" w:sz="4" w:space="0" w:color="AAAAAA"/>
              <w:bottom w:val="single" w:sz="4" w:space="0" w:color="AAAAAA"/>
              <w:right w:val="single" w:sz="4" w:space="0" w:color="AAAAAA"/>
            </w:tcBorders>
            <w:shd w:val="clear" w:color="auto" w:fill="2C2C2C"/>
            <w:tcMar>
              <w:top w:w="80" w:type="dxa"/>
              <w:left w:w="120" w:type="dxa"/>
              <w:bottom w:w="80" w:type="dxa"/>
              <w:right w:w="120" w:type="dxa"/>
            </w:tcMar>
          </w:tcPr>
          <w:p w14:paraId="705CEEED" w14:textId="77777777" w:rsidR="003D7881" w:rsidRDefault="00000000" w:rsidP="00445CC5">
            <w:pPr>
              <w:jc w:val="both"/>
            </w:pPr>
            <w:r>
              <w:rPr>
                <w:rFonts w:cs="Arial"/>
                <w:b/>
                <w:bCs/>
                <w:color w:val="FFFFFF"/>
                <w:sz w:val="19"/>
                <w:szCs w:val="19"/>
              </w:rPr>
              <w:t>Plots Created (Kitta Kat)</w:t>
            </w:r>
          </w:p>
        </w:tc>
        <w:tc>
          <w:tcPr>
            <w:tcW w:w="2100" w:type="dxa"/>
            <w:tcBorders>
              <w:top w:val="single" w:sz="4" w:space="0" w:color="AAAAAA"/>
              <w:left w:val="single" w:sz="4" w:space="0" w:color="AAAAAA"/>
              <w:bottom w:val="single" w:sz="4" w:space="0" w:color="AAAAAA"/>
              <w:right w:val="single" w:sz="4" w:space="0" w:color="AAAAAA"/>
            </w:tcBorders>
            <w:shd w:val="clear" w:color="auto" w:fill="2C2C2C"/>
            <w:tcMar>
              <w:top w:w="80" w:type="dxa"/>
              <w:left w:w="120" w:type="dxa"/>
              <w:bottom w:w="80" w:type="dxa"/>
              <w:right w:w="120" w:type="dxa"/>
            </w:tcMar>
          </w:tcPr>
          <w:p w14:paraId="3846ED6A" w14:textId="77777777" w:rsidR="003D7881" w:rsidRDefault="00000000" w:rsidP="00445CC5">
            <w:pPr>
              <w:jc w:val="both"/>
            </w:pPr>
            <w:r>
              <w:rPr>
                <w:rFonts w:cs="Arial"/>
                <w:b/>
                <w:bCs/>
                <w:color w:val="FFFFFF"/>
                <w:sz w:val="19"/>
                <w:szCs w:val="19"/>
              </w:rPr>
              <w:t>Govt Revenue (NPR)</w:t>
            </w:r>
          </w:p>
        </w:tc>
        <w:tc>
          <w:tcPr>
            <w:tcW w:w="2060" w:type="dxa"/>
            <w:tcBorders>
              <w:top w:val="single" w:sz="4" w:space="0" w:color="AAAAAA"/>
              <w:left w:val="single" w:sz="4" w:space="0" w:color="AAAAAA"/>
              <w:bottom w:val="single" w:sz="4" w:space="0" w:color="AAAAAA"/>
              <w:right w:val="single" w:sz="4" w:space="0" w:color="AAAAAA"/>
            </w:tcBorders>
            <w:shd w:val="clear" w:color="auto" w:fill="2C2C2C"/>
            <w:tcMar>
              <w:top w:w="80" w:type="dxa"/>
              <w:left w:w="120" w:type="dxa"/>
              <w:bottom w:w="80" w:type="dxa"/>
              <w:right w:w="120" w:type="dxa"/>
            </w:tcMar>
          </w:tcPr>
          <w:p w14:paraId="140EC3F7" w14:textId="77777777" w:rsidR="003D7881" w:rsidRDefault="00000000" w:rsidP="00445CC5">
            <w:pPr>
              <w:jc w:val="both"/>
            </w:pPr>
            <w:r>
              <w:rPr>
                <w:rFonts w:cs="Arial"/>
                <w:b/>
                <w:bCs/>
                <w:color w:val="FFFFFF"/>
                <w:sz w:val="19"/>
                <w:szCs w:val="19"/>
              </w:rPr>
              <w:t>Market Status</w:t>
            </w:r>
          </w:p>
        </w:tc>
      </w:tr>
      <w:tr w:rsidR="003D7881" w14:paraId="7A496E8B" w14:textId="77777777" w:rsidTr="00836EBE">
        <w:tblPrEx>
          <w:tblCellMar>
            <w:top w:w="0" w:type="dxa"/>
            <w:bottom w:w="0" w:type="dxa"/>
          </w:tblCellMar>
        </w:tblPrEx>
        <w:tc>
          <w:tcPr>
            <w:tcW w:w="1615" w:type="dxa"/>
            <w:tcBorders>
              <w:top w:val="single" w:sz="4" w:space="0" w:color="AAAAAA"/>
              <w:left w:val="single" w:sz="4" w:space="0" w:color="AAAAAA"/>
              <w:bottom w:val="single" w:sz="4" w:space="0" w:color="AAAAAA"/>
              <w:right w:val="single" w:sz="4" w:space="0" w:color="AAAAAA"/>
            </w:tcBorders>
            <w:shd w:val="clear" w:color="auto" w:fill="FAFAF7"/>
            <w:tcMar>
              <w:top w:w="80" w:type="dxa"/>
              <w:left w:w="120" w:type="dxa"/>
              <w:bottom w:w="80" w:type="dxa"/>
              <w:right w:w="120" w:type="dxa"/>
            </w:tcMar>
          </w:tcPr>
          <w:p w14:paraId="0393CE1F" w14:textId="77777777" w:rsidR="003D7881" w:rsidRDefault="00000000" w:rsidP="00445CC5">
            <w:pPr>
              <w:jc w:val="both"/>
            </w:pPr>
            <w:r>
              <w:rPr>
                <w:rFonts w:cs="Arial"/>
                <w:b/>
                <w:bCs/>
                <w:sz w:val="19"/>
                <w:szCs w:val="19"/>
              </w:rPr>
              <w:t>2078/79 (2021/22)</w:t>
            </w:r>
          </w:p>
        </w:tc>
        <w:tc>
          <w:tcPr>
            <w:tcW w:w="1980" w:type="dxa"/>
            <w:tcBorders>
              <w:top w:val="single" w:sz="4" w:space="0" w:color="AAAAAA"/>
              <w:left w:val="single" w:sz="4" w:space="0" w:color="AAAAAA"/>
              <w:bottom w:val="single" w:sz="4" w:space="0" w:color="AAAAAA"/>
              <w:right w:val="single" w:sz="4" w:space="0" w:color="AAAAAA"/>
            </w:tcBorders>
            <w:shd w:val="clear" w:color="auto" w:fill="FAFAF7"/>
            <w:tcMar>
              <w:top w:w="80" w:type="dxa"/>
              <w:left w:w="120" w:type="dxa"/>
              <w:bottom w:w="80" w:type="dxa"/>
              <w:right w:w="120" w:type="dxa"/>
            </w:tcMar>
          </w:tcPr>
          <w:p w14:paraId="58573F4C" w14:textId="77777777" w:rsidR="003D7881" w:rsidRDefault="00000000" w:rsidP="00445CC5">
            <w:pPr>
              <w:jc w:val="both"/>
            </w:pPr>
            <w:r>
              <w:rPr>
                <w:rFonts w:cs="Arial"/>
                <w:sz w:val="19"/>
                <w:szCs w:val="19"/>
              </w:rPr>
              <w:t>~745,000</w:t>
            </w:r>
          </w:p>
        </w:tc>
        <w:tc>
          <w:tcPr>
            <w:tcW w:w="1605" w:type="dxa"/>
            <w:tcBorders>
              <w:top w:val="single" w:sz="4" w:space="0" w:color="AAAAAA"/>
              <w:left w:val="single" w:sz="4" w:space="0" w:color="AAAAAA"/>
              <w:bottom w:val="single" w:sz="4" w:space="0" w:color="AAAAAA"/>
              <w:right w:val="single" w:sz="4" w:space="0" w:color="AAAAAA"/>
            </w:tcBorders>
            <w:shd w:val="clear" w:color="auto" w:fill="FAFAF7"/>
            <w:tcMar>
              <w:top w:w="80" w:type="dxa"/>
              <w:left w:w="120" w:type="dxa"/>
              <w:bottom w:w="80" w:type="dxa"/>
              <w:right w:w="120" w:type="dxa"/>
            </w:tcMar>
          </w:tcPr>
          <w:p w14:paraId="26241DC1" w14:textId="77777777" w:rsidR="003D7881" w:rsidRDefault="00000000" w:rsidP="00445CC5">
            <w:pPr>
              <w:jc w:val="both"/>
            </w:pPr>
            <w:r>
              <w:rPr>
                <w:rFonts w:cs="Arial"/>
                <w:b/>
                <w:bCs/>
                <w:sz w:val="19"/>
                <w:szCs w:val="19"/>
              </w:rPr>
              <w:t>1,612,000</w:t>
            </w:r>
          </w:p>
        </w:tc>
        <w:tc>
          <w:tcPr>
            <w:tcW w:w="2100" w:type="dxa"/>
            <w:tcBorders>
              <w:top w:val="single" w:sz="4" w:space="0" w:color="AAAAAA"/>
              <w:left w:val="single" w:sz="4" w:space="0" w:color="AAAAAA"/>
              <w:bottom w:val="single" w:sz="4" w:space="0" w:color="AAAAAA"/>
              <w:right w:val="single" w:sz="4" w:space="0" w:color="AAAAAA"/>
            </w:tcBorders>
            <w:shd w:val="clear" w:color="auto" w:fill="FAFAF7"/>
            <w:tcMar>
              <w:top w:w="80" w:type="dxa"/>
              <w:left w:w="120" w:type="dxa"/>
              <w:bottom w:w="80" w:type="dxa"/>
              <w:right w:w="120" w:type="dxa"/>
            </w:tcMar>
          </w:tcPr>
          <w:p w14:paraId="5296321B" w14:textId="77777777" w:rsidR="003D7881" w:rsidRDefault="00000000" w:rsidP="00445CC5">
            <w:pPr>
              <w:jc w:val="both"/>
            </w:pPr>
            <w:r>
              <w:rPr>
                <w:rFonts w:cs="Arial"/>
                <w:b/>
                <w:bCs/>
                <w:color w:val="166534"/>
                <w:sz w:val="19"/>
                <w:szCs w:val="19"/>
              </w:rPr>
              <w:t xml:space="preserve">Rs. 57.66 </w:t>
            </w:r>
            <w:proofErr w:type="gramStart"/>
            <w:r>
              <w:rPr>
                <w:rFonts w:cs="Arial"/>
                <w:b/>
                <w:bCs/>
                <w:color w:val="166534"/>
                <w:sz w:val="19"/>
                <w:szCs w:val="19"/>
              </w:rPr>
              <w:t>Billion</w:t>
            </w:r>
            <w:proofErr w:type="gramEnd"/>
          </w:p>
        </w:tc>
        <w:tc>
          <w:tcPr>
            <w:tcW w:w="2060" w:type="dxa"/>
            <w:tcBorders>
              <w:top w:val="single" w:sz="4" w:space="0" w:color="AAAAAA"/>
              <w:left w:val="single" w:sz="4" w:space="0" w:color="AAAAAA"/>
              <w:bottom w:val="single" w:sz="4" w:space="0" w:color="AAAAAA"/>
              <w:right w:val="single" w:sz="4" w:space="0" w:color="AAAAAA"/>
            </w:tcBorders>
            <w:shd w:val="clear" w:color="auto" w:fill="FAFAF7"/>
            <w:tcMar>
              <w:top w:w="80" w:type="dxa"/>
              <w:left w:w="120" w:type="dxa"/>
              <w:bottom w:w="80" w:type="dxa"/>
              <w:right w:w="120" w:type="dxa"/>
            </w:tcMar>
          </w:tcPr>
          <w:p w14:paraId="670D0A1A" w14:textId="77777777" w:rsidR="003D7881" w:rsidRDefault="00000000" w:rsidP="00445CC5">
            <w:pPr>
              <w:jc w:val="both"/>
            </w:pPr>
            <w:r>
              <w:rPr>
                <w:rFonts w:cs="Arial"/>
                <w:b/>
                <w:bCs/>
                <w:color w:val="166534"/>
                <w:sz w:val="19"/>
                <w:szCs w:val="19"/>
              </w:rPr>
              <w:t>Historic Peak</w:t>
            </w:r>
          </w:p>
        </w:tc>
      </w:tr>
      <w:tr w:rsidR="003D7881" w14:paraId="163BDB4A" w14:textId="77777777" w:rsidTr="00836EBE">
        <w:tblPrEx>
          <w:tblCellMar>
            <w:top w:w="0" w:type="dxa"/>
            <w:bottom w:w="0" w:type="dxa"/>
          </w:tblCellMar>
        </w:tblPrEx>
        <w:tc>
          <w:tcPr>
            <w:tcW w:w="1615"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E22C84C" w14:textId="77777777" w:rsidR="003D7881" w:rsidRDefault="00000000" w:rsidP="00445CC5">
            <w:pPr>
              <w:jc w:val="both"/>
            </w:pPr>
            <w:r>
              <w:rPr>
                <w:rFonts w:cs="Arial"/>
                <w:b/>
                <w:bCs/>
                <w:sz w:val="19"/>
                <w:szCs w:val="19"/>
              </w:rPr>
              <w:t>2079/80 (2022/23)</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76B0AEA" w14:textId="77777777" w:rsidR="003D7881" w:rsidRDefault="00000000" w:rsidP="00445CC5">
            <w:pPr>
              <w:jc w:val="both"/>
            </w:pPr>
            <w:r>
              <w:rPr>
                <w:rFonts w:cs="Arial"/>
                <w:sz w:val="19"/>
                <w:szCs w:val="19"/>
              </w:rPr>
              <w:t>~463,000</w:t>
            </w:r>
          </w:p>
        </w:tc>
        <w:tc>
          <w:tcPr>
            <w:tcW w:w="1605"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08E7DDC" w14:textId="77777777" w:rsidR="003D7881" w:rsidRDefault="00000000" w:rsidP="00445CC5">
            <w:pPr>
              <w:jc w:val="both"/>
            </w:pPr>
            <w:r>
              <w:rPr>
                <w:rFonts w:cs="Arial"/>
                <w:b/>
                <w:bCs/>
                <w:color w:val="991B1B"/>
                <w:sz w:val="19"/>
                <w:szCs w:val="19"/>
              </w:rPr>
              <w:t>285,000</w:t>
            </w:r>
          </w:p>
        </w:tc>
        <w:tc>
          <w:tcPr>
            <w:tcW w:w="21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57F4C5F" w14:textId="77777777" w:rsidR="003D7881" w:rsidRDefault="00000000" w:rsidP="00445CC5">
            <w:pPr>
              <w:jc w:val="both"/>
            </w:pPr>
            <w:r>
              <w:rPr>
                <w:rFonts w:cs="Arial"/>
                <w:color w:val="991B1B"/>
                <w:sz w:val="19"/>
                <w:szCs w:val="19"/>
              </w:rPr>
              <w:t xml:space="preserve">Rs. 41.15 </w:t>
            </w:r>
            <w:proofErr w:type="gramStart"/>
            <w:r>
              <w:rPr>
                <w:rFonts w:cs="Arial"/>
                <w:color w:val="991B1B"/>
                <w:sz w:val="19"/>
                <w:szCs w:val="19"/>
              </w:rPr>
              <w:t>Billion</w:t>
            </w:r>
            <w:proofErr w:type="gramEnd"/>
          </w:p>
        </w:tc>
        <w:tc>
          <w:tcPr>
            <w:tcW w:w="20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FA19E1F" w14:textId="77777777" w:rsidR="003D7881" w:rsidRDefault="00000000" w:rsidP="00445CC5">
            <w:pPr>
              <w:jc w:val="both"/>
            </w:pPr>
            <w:r>
              <w:rPr>
                <w:rFonts w:cs="Arial"/>
                <w:b/>
                <w:bCs/>
                <w:color w:val="991B1B"/>
                <w:sz w:val="19"/>
                <w:szCs w:val="19"/>
              </w:rPr>
              <w:t>Policy Contraction</w:t>
            </w:r>
          </w:p>
        </w:tc>
      </w:tr>
      <w:tr w:rsidR="003D7881" w14:paraId="44B5338D" w14:textId="77777777" w:rsidTr="00836EBE">
        <w:tblPrEx>
          <w:tblCellMar>
            <w:top w:w="0" w:type="dxa"/>
            <w:bottom w:w="0" w:type="dxa"/>
          </w:tblCellMar>
        </w:tblPrEx>
        <w:tc>
          <w:tcPr>
            <w:tcW w:w="1615" w:type="dxa"/>
            <w:tcBorders>
              <w:top w:val="single" w:sz="4" w:space="0" w:color="AAAAAA"/>
              <w:left w:val="single" w:sz="4" w:space="0" w:color="AAAAAA"/>
              <w:bottom w:val="single" w:sz="4" w:space="0" w:color="AAAAAA"/>
              <w:right w:val="single" w:sz="4" w:space="0" w:color="AAAAAA"/>
            </w:tcBorders>
            <w:shd w:val="clear" w:color="auto" w:fill="FAFAF7"/>
            <w:tcMar>
              <w:top w:w="80" w:type="dxa"/>
              <w:left w:w="120" w:type="dxa"/>
              <w:bottom w:w="80" w:type="dxa"/>
              <w:right w:w="120" w:type="dxa"/>
            </w:tcMar>
          </w:tcPr>
          <w:p w14:paraId="11585910" w14:textId="77777777" w:rsidR="003D7881" w:rsidRDefault="00000000" w:rsidP="00445CC5">
            <w:pPr>
              <w:jc w:val="both"/>
            </w:pPr>
            <w:r>
              <w:rPr>
                <w:rFonts w:cs="Arial"/>
                <w:b/>
                <w:bCs/>
                <w:sz w:val="19"/>
                <w:szCs w:val="19"/>
              </w:rPr>
              <w:t>2080/81 (2023/24)</w:t>
            </w:r>
          </w:p>
        </w:tc>
        <w:tc>
          <w:tcPr>
            <w:tcW w:w="1980" w:type="dxa"/>
            <w:tcBorders>
              <w:top w:val="single" w:sz="4" w:space="0" w:color="AAAAAA"/>
              <w:left w:val="single" w:sz="4" w:space="0" w:color="AAAAAA"/>
              <w:bottom w:val="single" w:sz="4" w:space="0" w:color="AAAAAA"/>
              <w:right w:val="single" w:sz="4" w:space="0" w:color="AAAAAA"/>
            </w:tcBorders>
            <w:shd w:val="clear" w:color="auto" w:fill="FAFAF7"/>
            <w:tcMar>
              <w:top w:w="80" w:type="dxa"/>
              <w:left w:w="120" w:type="dxa"/>
              <w:bottom w:w="80" w:type="dxa"/>
              <w:right w:w="120" w:type="dxa"/>
            </w:tcMar>
          </w:tcPr>
          <w:p w14:paraId="055D709D" w14:textId="77777777" w:rsidR="003D7881" w:rsidRDefault="00000000" w:rsidP="00445CC5">
            <w:pPr>
              <w:jc w:val="both"/>
            </w:pPr>
            <w:r>
              <w:rPr>
                <w:rFonts w:cs="Arial"/>
                <w:sz w:val="19"/>
                <w:szCs w:val="19"/>
              </w:rPr>
              <w:t>538,128</w:t>
            </w:r>
          </w:p>
        </w:tc>
        <w:tc>
          <w:tcPr>
            <w:tcW w:w="1605" w:type="dxa"/>
            <w:tcBorders>
              <w:top w:val="single" w:sz="4" w:space="0" w:color="AAAAAA"/>
              <w:left w:val="single" w:sz="4" w:space="0" w:color="AAAAAA"/>
              <w:bottom w:val="single" w:sz="4" w:space="0" w:color="AAAAAA"/>
              <w:right w:val="single" w:sz="4" w:space="0" w:color="AAAAAA"/>
            </w:tcBorders>
            <w:shd w:val="clear" w:color="auto" w:fill="FAFAF7"/>
            <w:tcMar>
              <w:top w:w="80" w:type="dxa"/>
              <w:left w:w="120" w:type="dxa"/>
              <w:bottom w:w="80" w:type="dxa"/>
              <w:right w:w="120" w:type="dxa"/>
            </w:tcMar>
          </w:tcPr>
          <w:p w14:paraId="6CB5FA8B" w14:textId="104CD6F9" w:rsidR="003D7881" w:rsidRDefault="00445CC5" w:rsidP="00445CC5">
            <w:pPr>
              <w:jc w:val="both"/>
            </w:pPr>
            <w:r>
              <w:rPr>
                <w:rFonts w:cs="Arial"/>
                <w:sz w:val="19"/>
                <w:szCs w:val="19"/>
              </w:rPr>
              <w:t>-</w:t>
            </w:r>
          </w:p>
        </w:tc>
        <w:tc>
          <w:tcPr>
            <w:tcW w:w="2100" w:type="dxa"/>
            <w:tcBorders>
              <w:top w:val="single" w:sz="4" w:space="0" w:color="AAAAAA"/>
              <w:left w:val="single" w:sz="4" w:space="0" w:color="AAAAAA"/>
              <w:bottom w:val="single" w:sz="4" w:space="0" w:color="AAAAAA"/>
              <w:right w:val="single" w:sz="4" w:space="0" w:color="AAAAAA"/>
            </w:tcBorders>
            <w:shd w:val="clear" w:color="auto" w:fill="FAFAF7"/>
            <w:tcMar>
              <w:top w:w="80" w:type="dxa"/>
              <w:left w:w="120" w:type="dxa"/>
              <w:bottom w:w="80" w:type="dxa"/>
              <w:right w:w="120" w:type="dxa"/>
            </w:tcMar>
          </w:tcPr>
          <w:p w14:paraId="1C599997" w14:textId="77777777" w:rsidR="003D7881" w:rsidRDefault="00000000" w:rsidP="00445CC5">
            <w:pPr>
              <w:jc w:val="both"/>
            </w:pPr>
            <w:r>
              <w:rPr>
                <w:rFonts w:cs="Arial"/>
                <w:color w:val="92400E"/>
                <w:sz w:val="19"/>
                <w:szCs w:val="19"/>
              </w:rPr>
              <w:t xml:space="preserve">Rs. 49.04 </w:t>
            </w:r>
            <w:proofErr w:type="gramStart"/>
            <w:r>
              <w:rPr>
                <w:rFonts w:cs="Arial"/>
                <w:color w:val="92400E"/>
                <w:sz w:val="19"/>
                <w:szCs w:val="19"/>
              </w:rPr>
              <w:t>Billion</w:t>
            </w:r>
            <w:proofErr w:type="gramEnd"/>
          </w:p>
        </w:tc>
        <w:tc>
          <w:tcPr>
            <w:tcW w:w="2060" w:type="dxa"/>
            <w:tcBorders>
              <w:top w:val="single" w:sz="4" w:space="0" w:color="AAAAAA"/>
              <w:left w:val="single" w:sz="4" w:space="0" w:color="AAAAAA"/>
              <w:bottom w:val="single" w:sz="4" w:space="0" w:color="AAAAAA"/>
              <w:right w:val="single" w:sz="4" w:space="0" w:color="AAAAAA"/>
            </w:tcBorders>
            <w:shd w:val="clear" w:color="auto" w:fill="FAFAF7"/>
            <w:tcMar>
              <w:top w:w="80" w:type="dxa"/>
              <w:left w:w="120" w:type="dxa"/>
              <w:bottom w:w="80" w:type="dxa"/>
              <w:right w:w="120" w:type="dxa"/>
            </w:tcMar>
          </w:tcPr>
          <w:p w14:paraId="3465E955" w14:textId="77777777" w:rsidR="003D7881" w:rsidRDefault="00000000" w:rsidP="00445CC5">
            <w:pPr>
              <w:jc w:val="both"/>
            </w:pPr>
            <w:r>
              <w:rPr>
                <w:rFonts w:cs="Arial"/>
                <w:b/>
                <w:bCs/>
                <w:color w:val="991B1B"/>
                <w:sz w:val="19"/>
                <w:szCs w:val="19"/>
              </w:rPr>
              <w:t>Severe Stagnation</w:t>
            </w:r>
          </w:p>
        </w:tc>
      </w:tr>
      <w:tr w:rsidR="003D7881" w14:paraId="60CD8C60" w14:textId="77777777" w:rsidTr="00836EBE">
        <w:tblPrEx>
          <w:tblCellMar>
            <w:top w:w="0" w:type="dxa"/>
            <w:bottom w:w="0" w:type="dxa"/>
          </w:tblCellMar>
        </w:tblPrEx>
        <w:tc>
          <w:tcPr>
            <w:tcW w:w="1615"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687819C" w14:textId="77777777" w:rsidR="003D7881" w:rsidRDefault="00000000" w:rsidP="00445CC5">
            <w:pPr>
              <w:jc w:val="both"/>
            </w:pPr>
            <w:r>
              <w:rPr>
                <w:rFonts w:cs="Arial"/>
                <w:b/>
                <w:bCs/>
                <w:sz w:val="19"/>
                <w:szCs w:val="19"/>
              </w:rPr>
              <w:t>Q4 FY 2081/82 (2024/25)</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7843243" w14:textId="77777777" w:rsidR="003D7881" w:rsidRDefault="00000000" w:rsidP="00445CC5">
            <w:pPr>
              <w:jc w:val="both"/>
            </w:pPr>
            <w:r>
              <w:rPr>
                <w:rFonts w:cs="Arial"/>
                <w:sz w:val="19"/>
                <w:szCs w:val="19"/>
              </w:rPr>
              <w:t xml:space="preserve">114,769 (single </w:t>
            </w:r>
            <w:proofErr w:type="spellStart"/>
            <w:r>
              <w:rPr>
                <w:rFonts w:cs="Arial"/>
                <w:sz w:val="19"/>
                <w:szCs w:val="19"/>
              </w:rPr>
              <w:t>qtr</w:t>
            </w:r>
            <w:proofErr w:type="spellEnd"/>
            <w:r>
              <w:rPr>
                <w:rFonts w:cs="Arial"/>
                <w:sz w:val="19"/>
                <w:szCs w:val="19"/>
              </w:rPr>
              <w:t>)</w:t>
            </w:r>
          </w:p>
        </w:tc>
        <w:tc>
          <w:tcPr>
            <w:tcW w:w="1605"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5890018" w14:textId="1BBD815E" w:rsidR="003D7881" w:rsidRDefault="00445CC5" w:rsidP="00445CC5">
            <w:pPr>
              <w:jc w:val="both"/>
            </w:pPr>
            <w:r>
              <w:rPr>
                <w:rFonts w:cs="Arial"/>
                <w:sz w:val="19"/>
                <w:szCs w:val="19"/>
              </w:rPr>
              <w:t>-</w:t>
            </w:r>
          </w:p>
        </w:tc>
        <w:tc>
          <w:tcPr>
            <w:tcW w:w="21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3D564B2" w14:textId="77777777" w:rsidR="003D7881" w:rsidRDefault="00000000" w:rsidP="00445CC5">
            <w:pPr>
              <w:jc w:val="both"/>
            </w:pPr>
            <w:r>
              <w:rPr>
                <w:rFonts w:cs="Arial"/>
                <w:color w:val="166534"/>
                <w:sz w:val="19"/>
                <w:szCs w:val="19"/>
              </w:rPr>
              <w:t>Rs. 15B (</w:t>
            </w:r>
            <w:proofErr w:type="spellStart"/>
            <w:r>
              <w:rPr>
                <w:rFonts w:cs="Arial"/>
                <w:color w:val="166534"/>
                <w:sz w:val="19"/>
                <w:szCs w:val="19"/>
              </w:rPr>
              <w:t>qtrly</w:t>
            </w:r>
            <w:proofErr w:type="spellEnd"/>
            <w:r>
              <w:rPr>
                <w:rFonts w:cs="Arial"/>
                <w:color w:val="166534"/>
                <w:sz w:val="19"/>
                <w:szCs w:val="19"/>
              </w:rPr>
              <w:t xml:space="preserve"> avg)</w:t>
            </w:r>
          </w:p>
        </w:tc>
        <w:tc>
          <w:tcPr>
            <w:tcW w:w="20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C84E18D" w14:textId="77777777" w:rsidR="003D7881" w:rsidRDefault="00000000" w:rsidP="00445CC5">
            <w:pPr>
              <w:jc w:val="both"/>
            </w:pPr>
            <w:r>
              <w:rPr>
                <w:rFonts w:cs="Arial"/>
                <w:b/>
                <w:bCs/>
                <w:color w:val="166534"/>
                <w:sz w:val="19"/>
                <w:szCs w:val="19"/>
              </w:rPr>
              <w:t>Nascent Recovery</w:t>
            </w:r>
          </w:p>
        </w:tc>
      </w:tr>
    </w:tbl>
    <w:p w14:paraId="488F3AE2" w14:textId="77777777" w:rsidR="003D7881" w:rsidRDefault="00000000" w:rsidP="00445CC5">
      <w:pPr>
        <w:spacing w:before="100" w:after="400"/>
        <w:jc w:val="both"/>
      </w:pPr>
      <w:r>
        <w:rPr>
          <w:rFonts w:cs="Arial"/>
          <w:i/>
          <w:iCs/>
          <w:color w:val="888888"/>
          <w:sz w:val="17"/>
          <w:szCs w:val="17"/>
        </w:rPr>
        <w:t xml:space="preserve">Sources: </w:t>
      </w:r>
      <w:hyperlink r:id="rId116" w:history="1">
        <w:r>
          <w:rPr>
            <w:rFonts w:cs="Arial"/>
            <w:color w:val="C4921A"/>
            <w:sz w:val="16"/>
            <w:szCs w:val="16"/>
            <w:u w:val="single" w:color="C4921A"/>
            <w:vertAlign w:val="superscript"/>
          </w:rPr>
          <w:t>[2]</w:t>
        </w:r>
      </w:hyperlink>
      <w:hyperlink r:id="rId117" w:history="1">
        <w:r>
          <w:rPr>
            <w:rFonts w:cs="Arial"/>
            <w:color w:val="C4921A"/>
            <w:sz w:val="16"/>
            <w:szCs w:val="16"/>
            <w:u w:val="single" w:color="C4921A"/>
            <w:vertAlign w:val="superscript"/>
          </w:rPr>
          <w:t>[1]</w:t>
        </w:r>
      </w:hyperlink>
      <w:hyperlink r:id="rId118" w:history="1">
        <w:r>
          <w:rPr>
            <w:rFonts w:cs="Arial"/>
            <w:color w:val="C4921A"/>
            <w:sz w:val="16"/>
            <w:szCs w:val="16"/>
            <w:u w:val="single" w:color="C4921A"/>
            <w:vertAlign w:val="superscript"/>
          </w:rPr>
          <w:t>[58]</w:t>
        </w:r>
      </w:hyperlink>
      <w:hyperlink r:id="rId119" w:history="1">
        <w:r>
          <w:rPr>
            <w:rFonts w:cs="Arial"/>
            <w:color w:val="C4921A"/>
            <w:sz w:val="16"/>
            <w:szCs w:val="16"/>
            <w:u w:val="single" w:color="C4921A"/>
            <w:vertAlign w:val="superscript"/>
          </w:rPr>
          <w:t>[59]</w:t>
        </w:r>
      </w:hyperlink>
    </w:p>
    <w:p w14:paraId="39D2BB2E" w14:textId="5C839C62" w:rsidR="003D7881" w:rsidRDefault="00000000" w:rsidP="00445CC5">
      <w:pPr>
        <w:spacing w:before="200" w:after="200"/>
        <w:jc w:val="both"/>
      </w:pPr>
      <w:r>
        <w:rPr>
          <w:rFonts w:cs="Arial"/>
          <w:b/>
          <w:bCs/>
          <w:sz w:val="28"/>
          <w:szCs w:val="28"/>
        </w:rPr>
        <w:t xml:space="preserve">CAUSATION VS. CORRELATION </w:t>
      </w:r>
      <w:r w:rsidR="00445CC5">
        <w:rPr>
          <w:rFonts w:cs="Arial"/>
          <w:b/>
          <w:bCs/>
          <w:sz w:val="28"/>
          <w:szCs w:val="28"/>
        </w:rPr>
        <w:t>-</w:t>
      </w:r>
      <w:r>
        <w:rPr>
          <w:rFonts w:cs="Arial"/>
          <w:b/>
          <w:bCs/>
          <w:sz w:val="28"/>
          <w:szCs w:val="28"/>
        </w:rPr>
        <w:t xml:space="preserve"> Ranked Factors of Market Deceleration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3D7881" w14:paraId="598567C2" w14:textId="77777777">
        <w:tblPrEx>
          <w:tblCellMar>
            <w:top w:w="0" w:type="dxa"/>
            <w:bottom w:w="0" w:type="dxa"/>
          </w:tblCellMar>
        </w:tblPrEx>
        <w:tc>
          <w:tcPr>
            <w:tcW w:w="600" w:type="dxa"/>
            <w:tcBorders>
              <w:top w:val="single" w:sz="4" w:space="0" w:color="CCCCCC"/>
              <w:left w:val="single" w:sz="4" w:space="0" w:color="CCCCCC"/>
              <w:bottom w:val="single" w:sz="4" w:space="0" w:color="CCCCCC"/>
              <w:right w:val="single" w:sz="4" w:space="0" w:color="CCCCCC"/>
            </w:tcBorders>
            <w:shd w:val="clear" w:color="auto" w:fill="991B1B"/>
            <w:tcMar>
              <w:top w:w="120" w:type="dxa"/>
              <w:left w:w="100" w:type="dxa"/>
              <w:bottom w:w="120" w:type="dxa"/>
              <w:right w:w="100" w:type="dxa"/>
            </w:tcMar>
            <w:vAlign w:val="center"/>
          </w:tcPr>
          <w:p w14:paraId="6463ADB3" w14:textId="77777777" w:rsidR="003D7881" w:rsidRDefault="00000000" w:rsidP="00445CC5">
            <w:pPr>
              <w:jc w:val="both"/>
            </w:pPr>
            <w:r>
              <w:rPr>
                <w:rFonts w:cs="Arial"/>
                <w:b/>
                <w:bCs/>
                <w:color w:val="FFFFFF"/>
                <w:sz w:val="24"/>
                <w:szCs w:val="24"/>
              </w:rPr>
              <w:t>#1</w:t>
            </w:r>
          </w:p>
        </w:tc>
        <w:tc>
          <w:tcPr>
            <w:tcW w:w="8760" w:type="dxa"/>
            <w:tcBorders>
              <w:top w:val="single" w:sz="4" w:space="0" w:color="CCCCCC"/>
              <w:left w:val="single" w:sz="4" w:space="0" w:color="CCCCCC"/>
              <w:bottom w:val="single" w:sz="4" w:space="0" w:color="CCCCCC"/>
              <w:right w:val="single" w:sz="4" w:space="0" w:color="CCCCCC"/>
            </w:tcBorders>
            <w:shd w:val="clear" w:color="auto" w:fill="FFF0F0"/>
            <w:tcMar>
              <w:top w:w="120" w:type="dxa"/>
              <w:left w:w="140" w:type="dxa"/>
              <w:bottom w:w="120" w:type="dxa"/>
              <w:right w:w="140" w:type="dxa"/>
            </w:tcMar>
          </w:tcPr>
          <w:p w14:paraId="5F0B8BA2" w14:textId="3CBF38AC" w:rsidR="003D7881" w:rsidRDefault="00000000" w:rsidP="00445CC5">
            <w:pPr>
              <w:spacing w:after="80"/>
              <w:jc w:val="both"/>
            </w:pPr>
            <w:r>
              <w:rPr>
                <w:rFonts w:cs="Arial"/>
                <w:b/>
                <w:bCs/>
                <w:color w:val="8B1A1A"/>
                <w:sz w:val="21"/>
                <w:szCs w:val="21"/>
              </w:rPr>
              <w:t xml:space="preserve">PRIMARY CAUSATION </w:t>
            </w:r>
            <w:r w:rsidR="00445CC5">
              <w:rPr>
                <w:rFonts w:cs="Arial"/>
                <w:b/>
                <w:bCs/>
                <w:color w:val="8B1A1A"/>
                <w:sz w:val="21"/>
                <w:szCs w:val="21"/>
              </w:rPr>
              <w:t>-</w:t>
            </w:r>
            <w:r>
              <w:rPr>
                <w:rFonts w:cs="Arial"/>
                <w:b/>
                <w:bCs/>
                <w:color w:val="8B1A1A"/>
                <w:sz w:val="21"/>
                <w:szCs w:val="21"/>
              </w:rPr>
              <w:t xml:space="preserve"> Regulatory Paralysis (Land Use Regulation 2079)</w:t>
            </w:r>
          </w:p>
          <w:p w14:paraId="58F8BD5C" w14:textId="574E7D00" w:rsidR="003D7881" w:rsidRDefault="00000000" w:rsidP="00445CC5">
            <w:pPr>
              <w:jc w:val="both"/>
            </w:pPr>
            <w:r>
              <w:rPr>
                <w:rFonts w:cs="Arial"/>
                <w:color w:val="444444"/>
                <w:sz w:val="19"/>
                <w:szCs w:val="19"/>
              </w:rPr>
              <w:t xml:space="preserve">The botched </w:t>
            </w:r>
            <w:proofErr w:type="spellStart"/>
            <w:r>
              <w:rPr>
                <w:rFonts w:cs="Arial"/>
                <w:color w:val="444444"/>
                <w:sz w:val="19"/>
                <w:szCs w:val="19"/>
              </w:rPr>
              <w:t>kitta</w:t>
            </w:r>
            <w:proofErr w:type="spellEnd"/>
            <w:r>
              <w:rPr>
                <w:rFonts w:cs="Arial"/>
                <w:color w:val="444444"/>
                <w:sz w:val="19"/>
                <w:szCs w:val="19"/>
              </w:rPr>
              <w:t xml:space="preserve"> kat ban caused a direct, instantaneous 50% drop in national transactions </w:t>
            </w:r>
            <w:r w:rsidR="00445CC5">
              <w:rPr>
                <w:rFonts w:cs="Arial"/>
                <w:color w:val="444444"/>
                <w:sz w:val="19"/>
                <w:szCs w:val="19"/>
              </w:rPr>
              <w:t>-</w:t>
            </w:r>
            <w:r>
              <w:rPr>
                <w:rFonts w:cs="Arial"/>
                <w:color w:val="444444"/>
                <w:sz w:val="19"/>
                <w:szCs w:val="19"/>
              </w:rPr>
              <w:t xml:space="preserve"> a severe supply-side shock engineered entirely by administrative bottlenecking, not any shift in consumer demand.</w:t>
            </w:r>
            <w:hyperlink r:id="rId120" w:history="1">
              <w:r>
                <w:rPr>
                  <w:rFonts w:cs="Arial"/>
                  <w:color w:val="C4921A"/>
                  <w:sz w:val="16"/>
                  <w:szCs w:val="16"/>
                  <w:u w:val="single" w:color="C4921A"/>
                  <w:vertAlign w:val="superscript"/>
                </w:rPr>
                <w:t>[63]</w:t>
              </w:r>
            </w:hyperlink>
          </w:p>
        </w:tc>
      </w:tr>
      <w:tr w:rsidR="003D7881" w14:paraId="4A4B46D1" w14:textId="77777777">
        <w:tblPrEx>
          <w:tblCellMar>
            <w:top w:w="0" w:type="dxa"/>
            <w:bottom w:w="0" w:type="dxa"/>
          </w:tblCellMar>
        </w:tblPrEx>
        <w:tc>
          <w:tcPr>
            <w:tcW w:w="600" w:type="dxa"/>
            <w:tcBorders>
              <w:top w:val="single" w:sz="4" w:space="0" w:color="CCCCCC"/>
              <w:left w:val="single" w:sz="4" w:space="0" w:color="CCCCCC"/>
              <w:bottom w:val="single" w:sz="4" w:space="0" w:color="CCCCCC"/>
              <w:right w:val="single" w:sz="4" w:space="0" w:color="CCCCCC"/>
            </w:tcBorders>
            <w:shd w:val="clear" w:color="auto" w:fill="B45309"/>
            <w:tcMar>
              <w:top w:w="120" w:type="dxa"/>
              <w:left w:w="100" w:type="dxa"/>
              <w:bottom w:w="120" w:type="dxa"/>
              <w:right w:w="100" w:type="dxa"/>
            </w:tcMar>
            <w:vAlign w:val="center"/>
          </w:tcPr>
          <w:p w14:paraId="6DEA688C" w14:textId="77777777" w:rsidR="003D7881" w:rsidRDefault="00000000" w:rsidP="00445CC5">
            <w:pPr>
              <w:jc w:val="both"/>
            </w:pPr>
            <w:r>
              <w:rPr>
                <w:rFonts w:cs="Arial"/>
                <w:b/>
                <w:bCs/>
                <w:color w:val="FFFFFF"/>
                <w:sz w:val="24"/>
                <w:szCs w:val="24"/>
              </w:rPr>
              <w:t>#2</w:t>
            </w:r>
          </w:p>
        </w:tc>
        <w:tc>
          <w:tcPr>
            <w:tcW w:w="8760" w:type="dxa"/>
            <w:tcBorders>
              <w:top w:val="single" w:sz="4" w:space="0" w:color="CCCCCC"/>
              <w:left w:val="single" w:sz="4" w:space="0" w:color="CCCCCC"/>
              <w:bottom w:val="single" w:sz="4" w:space="0" w:color="CCCCCC"/>
              <w:right w:val="single" w:sz="4" w:space="0" w:color="CCCCCC"/>
            </w:tcBorders>
            <w:shd w:val="clear" w:color="auto" w:fill="FFFBF0"/>
            <w:tcMar>
              <w:top w:w="120" w:type="dxa"/>
              <w:left w:w="140" w:type="dxa"/>
              <w:bottom w:w="120" w:type="dxa"/>
              <w:right w:w="140" w:type="dxa"/>
            </w:tcMar>
          </w:tcPr>
          <w:p w14:paraId="54B9B25A" w14:textId="1A27B612" w:rsidR="003D7881" w:rsidRDefault="00000000" w:rsidP="00445CC5">
            <w:pPr>
              <w:spacing w:after="80"/>
              <w:jc w:val="both"/>
            </w:pPr>
            <w:r>
              <w:rPr>
                <w:rFonts w:cs="Arial"/>
                <w:b/>
                <w:bCs/>
                <w:color w:val="92400E"/>
                <w:sz w:val="21"/>
                <w:szCs w:val="21"/>
              </w:rPr>
              <w:t xml:space="preserve">SECONDARY CAUSATION </w:t>
            </w:r>
            <w:r w:rsidR="00445CC5">
              <w:rPr>
                <w:rFonts w:cs="Arial"/>
                <w:b/>
                <w:bCs/>
                <w:color w:val="92400E"/>
                <w:sz w:val="21"/>
                <w:szCs w:val="21"/>
              </w:rPr>
              <w:t>-</w:t>
            </w:r>
            <w:r>
              <w:rPr>
                <w:rFonts w:cs="Arial"/>
                <w:b/>
                <w:bCs/>
                <w:color w:val="92400E"/>
                <w:sz w:val="21"/>
                <w:szCs w:val="21"/>
              </w:rPr>
              <w:t xml:space="preserve"> Liquidity Depletion &amp; Cost of Capital (NRB Tightening)</w:t>
            </w:r>
          </w:p>
          <w:p w14:paraId="72FC0B52" w14:textId="60CAB74A" w:rsidR="003D7881" w:rsidRDefault="00000000" w:rsidP="00445CC5">
            <w:pPr>
              <w:jc w:val="both"/>
            </w:pPr>
            <w:r>
              <w:rPr>
                <w:rFonts w:cs="Arial"/>
                <w:color w:val="444444"/>
                <w:sz w:val="19"/>
                <w:szCs w:val="19"/>
              </w:rPr>
              <w:t xml:space="preserve">DTI cap at 70%, elevated interbank rates, and strict income verification made financial leverage mathematically impossible for the average Nepalese citizen </w:t>
            </w:r>
            <w:r w:rsidR="00445CC5">
              <w:rPr>
                <w:rFonts w:cs="Arial"/>
                <w:color w:val="444444"/>
                <w:sz w:val="19"/>
                <w:szCs w:val="19"/>
              </w:rPr>
              <w:t>-</w:t>
            </w:r>
            <w:r>
              <w:rPr>
                <w:rFonts w:cs="Arial"/>
                <w:color w:val="444444"/>
                <w:sz w:val="19"/>
                <w:szCs w:val="19"/>
              </w:rPr>
              <w:t xml:space="preserve"> a massive demand-side shock amplifying the supply shock.</w:t>
            </w:r>
            <w:hyperlink r:id="rId121" w:history="1">
              <w:r>
                <w:rPr>
                  <w:rFonts w:cs="Arial"/>
                  <w:color w:val="C4921A"/>
                  <w:sz w:val="16"/>
                  <w:szCs w:val="16"/>
                  <w:u w:val="single" w:color="C4921A"/>
                  <w:vertAlign w:val="superscript"/>
                </w:rPr>
                <w:t>[3]</w:t>
              </w:r>
            </w:hyperlink>
          </w:p>
        </w:tc>
      </w:tr>
      <w:tr w:rsidR="003D7881" w14:paraId="40B0B25D" w14:textId="77777777">
        <w:tblPrEx>
          <w:tblCellMar>
            <w:top w:w="0" w:type="dxa"/>
            <w:bottom w:w="0" w:type="dxa"/>
          </w:tblCellMar>
        </w:tblPrEx>
        <w:tc>
          <w:tcPr>
            <w:tcW w:w="600" w:type="dxa"/>
            <w:tcBorders>
              <w:top w:val="single" w:sz="4" w:space="0" w:color="CCCCCC"/>
              <w:left w:val="single" w:sz="4" w:space="0" w:color="CCCCCC"/>
              <w:bottom w:val="single" w:sz="4" w:space="0" w:color="CCCCCC"/>
              <w:right w:val="single" w:sz="4" w:space="0" w:color="CCCCCC"/>
            </w:tcBorders>
            <w:shd w:val="clear" w:color="auto" w:fill="1E40AF"/>
            <w:tcMar>
              <w:top w:w="120" w:type="dxa"/>
              <w:left w:w="100" w:type="dxa"/>
              <w:bottom w:w="120" w:type="dxa"/>
              <w:right w:w="100" w:type="dxa"/>
            </w:tcMar>
            <w:vAlign w:val="center"/>
          </w:tcPr>
          <w:p w14:paraId="44E8ADB2" w14:textId="77777777" w:rsidR="003D7881" w:rsidRDefault="00000000" w:rsidP="00445CC5">
            <w:pPr>
              <w:jc w:val="both"/>
            </w:pPr>
            <w:r>
              <w:rPr>
                <w:rFonts w:cs="Arial"/>
                <w:b/>
                <w:bCs/>
                <w:color w:val="FFFFFF"/>
                <w:sz w:val="24"/>
                <w:szCs w:val="24"/>
              </w:rPr>
              <w:t>#3</w:t>
            </w:r>
          </w:p>
        </w:tc>
        <w:tc>
          <w:tcPr>
            <w:tcW w:w="8760" w:type="dxa"/>
            <w:tcBorders>
              <w:top w:val="single" w:sz="4" w:space="0" w:color="CCCCCC"/>
              <w:left w:val="single" w:sz="4" w:space="0" w:color="CCCCCC"/>
              <w:bottom w:val="single" w:sz="4" w:space="0" w:color="CCCCCC"/>
              <w:right w:val="single" w:sz="4" w:space="0" w:color="CCCCCC"/>
            </w:tcBorders>
            <w:shd w:val="clear" w:color="auto" w:fill="EFF6FF"/>
            <w:tcMar>
              <w:top w:w="120" w:type="dxa"/>
              <w:left w:w="140" w:type="dxa"/>
              <w:bottom w:w="120" w:type="dxa"/>
              <w:right w:w="140" w:type="dxa"/>
            </w:tcMar>
          </w:tcPr>
          <w:p w14:paraId="2D5C637A" w14:textId="36EF7998" w:rsidR="003D7881" w:rsidRDefault="00000000" w:rsidP="00445CC5">
            <w:pPr>
              <w:spacing w:after="80"/>
              <w:jc w:val="both"/>
            </w:pPr>
            <w:r>
              <w:rPr>
                <w:rFonts w:cs="Arial"/>
                <w:b/>
                <w:bCs/>
                <w:color w:val="1E3A8A"/>
                <w:sz w:val="21"/>
                <w:szCs w:val="21"/>
              </w:rPr>
              <w:t xml:space="preserve">INVERSE CORRELATION </w:t>
            </w:r>
            <w:r w:rsidR="00445CC5">
              <w:rPr>
                <w:rFonts w:cs="Arial"/>
                <w:b/>
                <w:bCs/>
                <w:color w:val="1E3A8A"/>
                <w:sz w:val="21"/>
                <w:szCs w:val="21"/>
              </w:rPr>
              <w:t>-</w:t>
            </w:r>
            <w:r>
              <w:rPr>
                <w:rFonts w:cs="Arial"/>
                <w:b/>
                <w:bCs/>
                <w:color w:val="1E3A8A"/>
                <w:sz w:val="21"/>
                <w:szCs w:val="21"/>
              </w:rPr>
              <w:t xml:space="preserve"> Remittance Growth vs. Market Stagnation</w:t>
            </w:r>
          </w:p>
          <w:p w14:paraId="4C6102AE" w14:textId="77777777" w:rsidR="003D7881" w:rsidRDefault="00000000" w:rsidP="00445CC5">
            <w:pPr>
              <w:jc w:val="both"/>
            </w:pPr>
            <w:r>
              <w:rPr>
                <w:rFonts w:cs="Arial"/>
                <w:color w:val="444444"/>
                <w:sz w:val="19"/>
                <w:szCs w:val="19"/>
              </w:rPr>
              <w:t>Record nominal remittances (9-year high) coincided with historic transaction lows. Capital consumed by domestic inflation and survival economics, preventing speculative land acquisition for the first time in a decade.</w:t>
            </w:r>
            <w:hyperlink r:id="rId122" w:history="1">
              <w:r>
                <w:rPr>
                  <w:rFonts w:cs="Arial"/>
                  <w:color w:val="C4921A"/>
                  <w:sz w:val="16"/>
                  <w:szCs w:val="16"/>
                  <w:u w:val="single" w:color="C4921A"/>
                  <w:vertAlign w:val="superscript"/>
                </w:rPr>
                <w:t>[29]</w:t>
              </w:r>
            </w:hyperlink>
          </w:p>
        </w:tc>
      </w:tr>
      <w:tr w:rsidR="003D7881" w14:paraId="0CC1F41C" w14:textId="77777777">
        <w:tblPrEx>
          <w:tblCellMar>
            <w:top w:w="0" w:type="dxa"/>
            <w:bottom w:w="0" w:type="dxa"/>
          </w:tblCellMar>
        </w:tblPrEx>
        <w:tc>
          <w:tcPr>
            <w:tcW w:w="600" w:type="dxa"/>
            <w:tcBorders>
              <w:top w:val="single" w:sz="4" w:space="0" w:color="CCCCCC"/>
              <w:left w:val="single" w:sz="4" w:space="0" w:color="CCCCCC"/>
              <w:bottom w:val="single" w:sz="4" w:space="0" w:color="CCCCCC"/>
              <w:right w:val="single" w:sz="4" w:space="0" w:color="CCCCCC"/>
            </w:tcBorders>
            <w:shd w:val="clear" w:color="auto" w:fill="065F46"/>
            <w:tcMar>
              <w:top w:w="120" w:type="dxa"/>
              <w:left w:w="100" w:type="dxa"/>
              <w:bottom w:w="120" w:type="dxa"/>
              <w:right w:w="100" w:type="dxa"/>
            </w:tcMar>
            <w:vAlign w:val="center"/>
          </w:tcPr>
          <w:p w14:paraId="55B77BDE" w14:textId="77777777" w:rsidR="003D7881" w:rsidRDefault="00000000" w:rsidP="00445CC5">
            <w:pPr>
              <w:jc w:val="both"/>
            </w:pPr>
            <w:r>
              <w:rPr>
                <w:rFonts w:cs="Arial"/>
                <w:b/>
                <w:bCs/>
                <w:color w:val="FFFFFF"/>
                <w:sz w:val="24"/>
                <w:szCs w:val="24"/>
              </w:rPr>
              <w:t>#4</w:t>
            </w:r>
          </w:p>
        </w:tc>
        <w:tc>
          <w:tcPr>
            <w:tcW w:w="8760" w:type="dxa"/>
            <w:tcBorders>
              <w:top w:val="single" w:sz="4" w:space="0" w:color="CCCCCC"/>
              <w:left w:val="single" w:sz="4" w:space="0" w:color="CCCCCC"/>
              <w:bottom w:val="single" w:sz="4" w:space="0" w:color="CCCCCC"/>
              <w:right w:val="single" w:sz="4" w:space="0" w:color="CCCCCC"/>
            </w:tcBorders>
            <w:shd w:val="clear" w:color="auto" w:fill="F0FDF4"/>
            <w:tcMar>
              <w:top w:w="120" w:type="dxa"/>
              <w:left w:w="140" w:type="dxa"/>
              <w:bottom w:w="120" w:type="dxa"/>
              <w:right w:w="140" w:type="dxa"/>
            </w:tcMar>
          </w:tcPr>
          <w:p w14:paraId="7B17C491" w14:textId="771EE529" w:rsidR="003D7881" w:rsidRDefault="00000000" w:rsidP="00445CC5">
            <w:pPr>
              <w:spacing w:after="80"/>
              <w:jc w:val="both"/>
            </w:pPr>
            <w:r>
              <w:rPr>
                <w:rFonts w:cs="Arial"/>
                <w:b/>
                <w:bCs/>
                <w:color w:val="14532D"/>
                <w:sz w:val="21"/>
                <w:szCs w:val="21"/>
              </w:rPr>
              <w:t xml:space="preserve">CONTEXTUAL FRICTION </w:t>
            </w:r>
            <w:r w:rsidR="00445CC5">
              <w:rPr>
                <w:rFonts w:cs="Arial"/>
                <w:b/>
                <w:bCs/>
                <w:color w:val="14532D"/>
                <w:sz w:val="21"/>
                <w:szCs w:val="21"/>
              </w:rPr>
              <w:t>-</w:t>
            </w:r>
            <w:r>
              <w:rPr>
                <w:rFonts w:cs="Arial"/>
                <w:b/>
                <w:bCs/>
                <w:color w:val="14532D"/>
                <w:sz w:val="21"/>
                <w:szCs w:val="21"/>
              </w:rPr>
              <w:t xml:space="preserve"> AML Compliance &amp; FATF Pressure</w:t>
            </w:r>
          </w:p>
          <w:p w14:paraId="59DCF578" w14:textId="77777777" w:rsidR="003D7881" w:rsidRDefault="00000000" w:rsidP="00445CC5">
            <w:pPr>
              <w:jc w:val="both"/>
            </w:pPr>
            <w:r>
              <w:rPr>
                <w:rFonts w:cs="Arial"/>
                <w:color w:val="444444"/>
                <w:sz w:val="19"/>
                <w:szCs w:val="19"/>
              </w:rPr>
              <w:t>Did not singularly cause the crash but established a permanent, heavy layer of transactional friction. A necessary growing pain in the formalization of the Nepalese economy.</w:t>
            </w:r>
            <w:hyperlink r:id="rId123" w:history="1">
              <w:r>
                <w:rPr>
                  <w:rFonts w:cs="Arial"/>
                  <w:color w:val="C4921A"/>
                  <w:sz w:val="16"/>
                  <w:szCs w:val="16"/>
                  <w:u w:val="single" w:color="C4921A"/>
                  <w:vertAlign w:val="superscript"/>
                </w:rPr>
                <w:t>[6]</w:t>
              </w:r>
            </w:hyperlink>
            <w:hyperlink r:id="rId124" w:history="1">
              <w:r>
                <w:rPr>
                  <w:rFonts w:cs="Arial"/>
                  <w:color w:val="C4921A"/>
                  <w:sz w:val="16"/>
                  <w:szCs w:val="16"/>
                  <w:u w:val="single" w:color="C4921A"/>
                  <w:vertAlign w:val="superscript"/>
                </w:rPr>
                <w:t>[37]</w:t>
              </w:r>
            </w:hyperlink>
          </w:p>
        </w:tc>
      </w:tr>
    </w:tbl>
    <w:p w14:paraId="07BE7EC9" w14:textId="77777777" w:rsidR="003D7881" w:rsidRDefault="003D7881" w:rsidP="00445CC5">
      <w:pPr>
        <w:spacing w:after="300"/>
        <w:jc w:val="both"/>
      </w:pPr>
    </w:p>
    <w:p w14:paraId="3212A9BB" w14:textId="77777777" w:rsidR="003D7881" w:rsidRDefault="00000000" w:rsidP="00445CC5">
      <w:pPr>
        <w:spacing w:before="200" w:after="200"/>
        <w:jc w:val="both"/>
      </w:pPr>
      <w:r>
        <w:rPr>
          <w:rFonts w:cs="Arial"/>
          <w:b/>
          <w:bCs/>
          <w:sz w:val="28"/>
          <w:szCs w:val="28"/>
        </w:rPr>
        <w:t>STRATEGIC POLICY RECOMMENDATIONS FOR MARKET REVIVAL</w:t>
      </w:r>
    </w:p>
    <w:p w14:paraId="11063411" w14:textId="77777777" w:rsidR="003D7881" w:rsidRDefault="00000000" w:rsidP="00445CC5">
      <w:pPr>
        <w:pBdr>
          <w:left w:val="thick" w:sz="12" w:space="8" w:color="C4921A"/>
        </w:pBdr>
        <w:spacing w:before="200" w:after="100"/>
        <w:ind w:left="180"/>
        <w:jc w:val="both"/>
      </w:pPr>
      <w:r>
        <w:rPr>
          <w:rFonts w:cs="Arial"/>
          <w:b/>
          <w:bCs/>
          <w:sz w:val="22"/>
          <w:szCs w:val="22"/>
        </w:rPr>
        <w:t>1.  Accelerate, Subsidize &amp; Digitize Local Land Classification</w:t>
      </w:r>
    </w:p>
    <w:p w14:paraId="36082E71" w14:textId="0248E4A3" w:rsidR="003D7881" w:rsidRDefault="00000000" w:rsidP="00445CC5">
      <w:pPr>
        <w:pBdr>
          <w:left w:val="thick" w:sz="6" w:space="10" w:color="EEEEEE"/>
        </w:pBdr>
        <w:spacing w:after="120"/>
        <w:ind w:left="220"/>
        <w:jc w:val="both"/>
      </w:pPr>
      <w:r>
        <w:rPr>
          <w:rFonts w:cs="Arial"/>
        </w:rPr>
        <w:lastRenderedPageBreak/>
        <w:t xml:space="preserve">The </w:t>
      </w:r>
      <w:proofErr w:type="spellStart"/>
      <w:r>
        <w:rPr>
          <w:rFonts w:cs="Arial"/>
        </w:rPr>
        <w:t>GoN</w:t>
      </w:r>
      <w:proofErr w:type="spellEnd"/>
      <w:r>
        <w:rPr>
          <w:rFonts w:cs="Arial"/>
        </w:rPr>
        <w:t xml:space="preserve"> must provide emergency, </w:t>
      </w:r>
      <w:proofErr w:type="spellStart"/>
      <w:r>
        <w:rPr>
          <w:rFonts w:cs="Arial"/>
        </w:rPr>
        <w:t>centralised</w:t>
      </w:r>
      <w:proofErr w:type="spellEnd"/>
      <w:r>
        <w:rPr>
          <w:rFonts w:cs="Arial"/>
        </w:rPr>
        <w:t xml:space="preserve"> technical assistance </w:t>
      </w:r>
      <w:r w:rsidR="00445CC5">
        <w:rPr>
          <w:rFonts w:cs="Arial"/>
        </w:rPr>
        <w:t>-</w:t>
      </w:r>
      <w:r>
        <w:rPr>
          <w:rFonts w:cs="Arial"/>
        </w:rPr>
        <w:t xml:space="preserve"> specifically fully funded GIS and cadastral mapping teams </w:t>
      </w:r>
      <w:r w:rsidR="00445CC5">
        <w:rPr>
          <w:rFonts w:cs="Arial"/>
        </w:rPr>
        <w:t>-</w:t>
      </w:r>
      <w:r>
        <w:rPr>
          <w:rFonts w:cs="Arial"/>
        </w:rPr>
        <w:t xml:space="preserve"> to the remaining municipalities that have failed to classify their land under the Land Use Act 2076.</w:t>
      </w:r>
      <w:hyperlink r:id="rId125" w:history="1">
        <w:r>
          <w:rPr>
            <w:rFonts w:cs="Arial"/>
            <w:color w:val="C4921A"/>
            <w:sz w:val="16"/>
            <w:szCs w:val="16"/>
            <w:u w:val="single" w:color="C4921A"/>
            <w:vertAlign w:val="superscript"/>
          </w:rPr>
          <w:t>[32]</w:t>
        </w:r>
      </w:hyperlink>
      <w:r>
        <w:rPr>
          <w:rFonts w:cs="Arial"/>
        </w:rPr>
        <w:t xml:space="preserve"> The third amendment's temporary lifting is a political stopgap; permanent market stability requires </w:t>
      </w:r>
      <w:proofErr w:type="spellStart"/>
      <w:r>
        <w:rPr>
          <w:rFonts w:cs="Arial"/>
        </w:rPr>
        <w:t>finalised</w:t>
      </w:r>
      <w:proofErr w:type="spellEnd"/>
      <w:r>
        <w:rPr>
          <w:rFonts w:cs="Arial"/>
        </w:rPr>
        <w:t xml:space="preserve">, </w:t>
      </w:r>
      <w:proofErr w:type="spellStart"/>
      <w:r>
        <w:rPr>
          <w:rFonts w:cs="Arial"/>
        </w:rPr>
        <w:t>digitised</w:t>
      </w:r>
      <w:proofErr w:type="spellEnd"/>
      <w:r>
        <w:rPr>
          <w:rFonts w:cs="Arial"/>
        </w:rPr>
        <w:t>, and publicly accessible zoning maps.</w:t>
      </w:r>
      <w:hyperlink r:id="rId126" w:history="1">
        <w:r>
          <w:rPr>
            <w:rFonts w:cs="Arial"/>
            <w:color w:val="C4921A"/>
            <w:sz w:val="16"/>
            <w:szCs w:val="16"/>
            <w:u w:val="single" w:color="C4921A"/>
            <w:vertAlign w:val="superscript"/>
          </w:rPr>
          <w:t>[32]</w:t>
        </w:r>
      </w:hyperlink>
    </w:p>
    <w:p w14:paraId="72EA7CB7" w14:textId="77777777" w:rsidR="003D7881" w:rsidRDefault="003D7881" w:rsidP="00445CC5">
      <w:pPr>
        <w:spacing w:after="60"/>
        <w:jc w:val="both"/>
      </w:pPr>
    </w:p>
    <w:p w14:paraId="28BF6641" w14:textId="77777777" w:rsidR="003D7881" w:rsidRDefault="00000000" w:rsidP="00445CC5">
      <w:pPr>
        <w:pBdr>
          <w:left w:val="thick" w:sz="12" w:space="8" w:color="C4921A"/>
        </w:pBdr>
        <w:spacing w:before="200" w:after="100"/>
        <w:ind w:left="180"/>
        <w:jc w:val="both"/>
      </w:pPr>
      <w:r>
        <w:rPr>
          <w:rFonts w:cs="Arial"/>
          <w:b/>
          <w:bCs/>
          <w:sz w:val="22"/>
          <w:szCs w:val="22"/>
        </w:rPr>
        <w:t>2.  Fully Operationalize the Real Estate Price Index (RREPI)</w:t>
      </w:r>
    </w:p>
    <w:p w14:paraId="51C28322" w14:textId="77777777" w:rsidR="003D7881" w:rsidRDefault="00000000" w:rsidP="00445CC5">
      <w:pPr>
        <w:pBdr>
          <w:left w:val="thick" w:sz="6" w:space="10" w:color="EEEEEE"/>
        </w:pBdr>
        <w:spacing w:after="120"/>
        <w:ind w:left="220"/>
        <w:jc w:val="both"/>
      </w:pPr>
      <w:r>
        <w:rPr>
          <w:rFonts w:cs="Arial"/>
        </w:rPr>
        <w:t xml:space="preserve">The NRB must aggressively deploy and </w:t>
      </w:r>
      <w:proofErr w:type="spellStart"/>
      <w:r>
        <w:rPr>
          <w:rFonts w:cs="Arial"/>
        </w:rPr>
        <w:t>legitimise</w:t>
      </w:r>
      <w:proofErr w:type="spellEnd"/>
      <w:r>
        <w:rPr>
          <w:rFonts w:cs="Arial"/>
        </w:rPr>
        <w:t xml:space="preserve"> the RREPI to forcefully close the massive Valuation Gap between </w:t>
      </w:r>
      <w:proofErr w:type="spellStart"/>
      <w:r>
        <w:rPr>
          <w:rFonts w:cs="Arial"/>
        </w:rPr>
        <w:t>Thaili</w:t>
      </w:r>
      <w:proofErr w:type="spellEnd"/>
      <w:r>
        <w:rPr>
          <w:rFonts w:cs="Arial"/>
        </w:rPr>
        <w:t xml:space="preserve"> (declared) value and actual cash-exchanged market value.</w:t>
      </w:r>
      <w:hyperlink r:id="rId127" w:history="1">
        <w:r>
          <w:rPr>
            <w:rFonts w:cs="Arial"/>
            <w:color w:val="C4921A"/>
            <w:sz w:val="16"/>
            <w:szCs w:val="16"/>
            <w:u w:val="single" w:color="C4921A"/>
            <w:vertAlign w:val="superscript"/>
          </w:rPr>
          <w:t>[62]</w:t>
        </w:r>
      </w:hyperlink>
      <w:r>
        <w:rPr>
          <w:rFonts w:cs="Arial"/>
        </w:rPr>
        <w:t xml:space="preserve"> A reliable, government-backed index will allow banks to accurately assess collateral risk, enable revenue authorities to capture billions in lost CGT, and remove the financial incentive for systemic underreporting.</w:t>
      </w:r>
    </w:p>
    <w:p w14:paraId="2E2DA00C" w14:textId="77777777" w:rsidR="003D7881" w:rsidRDefault="003D7881" w:rsidP="00445CC5">
      <w:pPr>
        <w:spacing w:after="60"/>
        <w:jc w:val="both"/>
      </w:pPr>
    </w:p>
    <w:p w14:paraId="2761A708" w14:textId="77777777" w:rsidR="003D7881" w:rsidRDefault="00000000" w:rsidP="00445CC5">
      <w:pPr>
        <w:pBdr>
          <w:left w:val="thick" w:sz="12" w:space="8" w:color="C4921A"/>
        </w:pBdr>
        <w:spacing w:before="200" w:after="100"/>
        <w:ind w:left="180"/>
        <w:jc w:val="both"/>
      </w:pPr>
      <w:r>
        <w:rPr>
          <w:rFonts w:cs="Arial"/>
          <w:b/>
          <w:bCs/>
          <w:sz w:val="22"/>
          <w:szCs w:val="22"/>
        </w:rPr>
        <w:t>3.  Rationalize Registration Fees to Broaden the Tax Base</w:t>
      </w:r>
    </w:p>
    <w:p w14:paraId="685199FF" w14:textId="6FB3952D" w:rsidR="003D7881" w:rsidRDefault="00000000" w:rsidP="00445CC5">
      <w:pPr>
        <w:pBdr>
          <w:left w:val="thick" w:sz="6" w:space="10" w:color="EEEEEE"/>
        </w:pBdr>
        <w:spacing w:after="120"/>
        <w:ind w:left="220"/>
        <w:jc w:val="both"/>
      </w:pPr>
      <w:r>
        <w:rPr>
          <w:rFonts w:cs="Arial"/>
        </w:rPr>
        <w:t xml:space="preserve">Provincial governments </w:t>
      </w:r>
      <w:r w:rsidR="00445CC5">
        <w:rPr>
          <w:rFonts w:cs="Arial"/>
        </w:rPr>
        <w:t>-</w:t>
      </w:r>
      <w:r>
        <w:rPr>
          <w:rFonts w:cs="Arial"/>
        </w:rPr>
        <w:t xml:space="preserve"> particularly Bagmati </w:t>
      </w:r>
      <w:r w:rsidR="00445CC5">
        <w:rPr>
          <w:rFonts w:cs="Arial"/>
        </w:rPr>
        <w:t>-</w:t>
      </w:r>
      <w:r>
        <w:rPr>
          <w:rFonts w:cs="Arial"/>
        </w:rPr>
        <w:t xml:space="preserve"> should aggressively lower their punitive ad-valorem registration fees (currently 4%–5%).</w:t>
      </w:r>
      <w:hyperlink r:id="rId128" w:history="1">
        <w:r>
          <w:rPr>
            <w:rFonts w:cs="Arial"/>
            <w:color w:val="C4921A"/>
            <w:sz w:val="16"/>
            <w:szCs w:val="16"/>
            <w:u w:val="single" w:color="C4921A"/>
            <w:vertAlign w:val="superscript"/>
          </w:rPr>
          <w:t>[43]</w:t>
        </w:r>
      </w:hyperlink>
      <w:hyperlink r:id="rId129" w:history="1">
        <w:r>
          <w:rPr>
            <w:rFonts w:cs="Arial"/>
            <w:color w:val="C4921A"/>
            <w:sz w:val="16"/>
            <w:szCs w:val="16"/>
            <w:u w:val="single" w:color="C4921A"/>
            <w:vertAlign w:val="superscript"/>
          </w:rPr>
          <w:t>[41]</w:t>
        </w:r>
      </w:hyperlink>
      <w:r>
        <w:rPr>
          <w:rFonts w:cs="Arial"/>
        </w:rPr>
        <w:t xml:space="preserve"> Applying the Laffer Curve principle: a significantly lower, flat fee structure coupled with strict AML enforcement would dramatically increase formal transaction volume, yielding higher aggregate net revenue for the state despite lower per-transaction rates.</w:t>
      </w:r>
    </w:p>
    <w:p w14:paraId="1D8DBF67" w14:textId="77777777" w:rsidR="003D7881" w:rsidRDefault="003D7881" w:rsidP="00445CC5">
      <w:pPr>
        <w:spacing w:after="60"/>
        <w:jc w:val="both"/>
      </w:pPr>
    </w:p>
    <w:p w14:paraId="61F49E3E" w14:textId="77777777" w:rsidR="003D7881" w:rsidRDefault="00000000" w:rsidP="00445CC5">
      <w:pPr>
        <w:pBdr>
          <w:left w:val="thick" w:sz="12" w:space="8" w:color="C4921A"/>
        </w:pBdr>
        <w:spacing w:before="200" w:after="100"/>
        <w:ind w:left="180"/>
        <w:jc w:val="both"/>
      </w:pPr>
      <w:r>
        <w:rPr>
          <w:rFonts w:cs="Arial"/>
          <w:b/>
          <w:bCs/>
          <w:sz w:val="22"/>
          <w:szCs w:val="22"/>
        </w:rPr>
        <w:t>4.  Harmonize Judicial Rulings &amp; Executive Action via Clear Environmental Legislation</w:t>
      </w:r>
    </w:p>
    <w:p w14:paraId="0067A9D6" w14:textId="77777777" w:rsidR="003D7881" w:rsidRDefault="00000000" w:rsidP="00445CC5">
      <w:pPr>
        <w:pBdr>
          <w:left w:val="thick" w:sz="6" w:space="10" w:color="EEEEEE"/>
        </w:pBdr>
        <w:spacing w:after="120"/>
        <w:ind w:left="220"/>
        <w:jc w:val="both"/>
      </w:pPr>
      <w:r>
        <w:rPr>
          <w:rFonts w:cs="Arial"/>
        </w:rPr>
        <w:t xml:space="preserve">The immense market volatility from sudden Supreme Court riverbank rulings underscores a critical failure of the legislative branch to provide clear environmental frameworks. The </w:t>
      </w:r>
      <w:proofErr w:type="spellStart"/>
      <w:r>
        <w:rPr>
          <w:rFonts w:cs="Arial"/>
        </w:rPr>
        <w:t>GoN</w:t>
      </w:r>
      <w:proofErr w:type="spellEnd"/>
      <w:r>
        <w:rPr>
          <w:rFonts w:cs="Arial"/>
        </w:rPr>
        <w:t xml:space="preserve"> must proactively enact codified, generously compensated land-acquisition laws that definitively protect ecologically sensitive areas without subjecting private property owners to sudden, retroactive, and uncompensated asset destruction through judicial fiat.</w:t>
      </w:r>
      <w:hyperlink r:id="rId130" w:history="1">
        <w:r>
          <w:rPr>
            <w:rFonts w:cs="Arial"/>
            <w:color w:val="C4921A"/>
            <w:sz w:val="16"/>
            <w:szCs w:val="16"/>
            <w:u w:val="single" w:color="C4921A"/>
            <w:vertAlign w:val="superscript"/>
          </w:rPr>
          <w:t>[50]</w:t>
        </w:r>
      </w:hyperlink>
    </w:p>
    <w:p w14:paraId="23EB2D24" w14:textId="77777777" w:rsidR="003D7881" w:rsidRDefault="003D7881" w:rsidP="00445CC5">
      <w:pPr>
        <w:spacing w:after="60"/>
        <w:jc w:val="both"/>
      </w:pPr>
    </w:p>
    <w:p w14:paraId="102F92FA" w14:textId="77777777" w:rsidR="003D7881" w:rsidRDefault="00000000" w:rsidP="00445CC5">
      <w:pPr>
        <w:pBdr>
          <w:left w:val="thick" w:sz="12" w:space="8" w:color="C4921A"/>
        </w:pBdr>
        <w:spacing w:before="200" w:after="100"/>
        <w:ind w:left="180"/>
        <w:jc w:val="both"/>
      </w:pPr>
      <w:r>
        <w:rPr>
          <w:rFonts w:cs="Arial"/>
          <w:b/>
          <w:bCs/>
          <w:sz w:val="22"/>
          <w:szCs w:val="22"/>
        </w:rPr>
        <w:t>5.  Channel Migrant Remittances into Productive, Institutional Real Estate</w:t>
      </w:r>
    </w:p>
    <w:p w14:paraId="0C263AF8" w14:textId="533F9967" w:rsidR="003D7881" w:rsidRDefault="00000000" w:rsidP="00445CC5">
      <w:pPr>
        <w:pBdr>
          <w:left w:val="thick" w:sz="6" w:space="10" w:color="EEEEEE"/>
        </w:pBdr>
        <w:spacing w:after="120"/>
        <w:ind w:left="220"/>
        <w:jc w:val="both"/>
      </w:pPr>
      <w:r>
        <w:rPr>
          <w:rFonts w:cs="Arial"/>
        </w:rPr>
        <w:t xml:space="preserve">Rather than allowing billions in remittances to inflate the price of raw, unproductive land, the government and NRB should launch structured, legally protected </w:t>
      </w:r>
      <w:r>
        <w:rPr>
          <w:rFonts w:cs="Arial"/>
          <w:b/>
          <w:bCs/>
        </w:rPr>
        <w:t>Real Estate Investment Trusts (REITs)</w:t>
      </w:r>
      <w:r>
        <w:rPr>
          <w:rFonts w:cs="Arial"/>
        </w:rPr>
        <w:t xml:space="preserve"> or sovereign diaspora-targeted housing bonds.</w:t>
      </w:r>
      <w:hyperlink r:id="rId131" w:history="1">
        <w:r>
          <w:rPr>
            <w:rFonts w:cs="Arial"/>
            <w:color w:val="C4921A"/>
            <w:sz w:val="16"/>
            <w:szCs w:val="16"/>
            <w:u w:val="single" w:color="C4921A"/>
            <w:vertAlign w:val="superscript"/>
          </w:rPr>
          <w:t>[64]</w:t>
        </w:r>
      </w:hyperlink>
      <w:r>
        <w:rPr>
          <w:rFonts w:cs="Arial"/>
        </w:rPr>
        <w:t xml:space="preserve"> This would channel foreign capital into </w:t>
      </w:r>
      <w:proofErr w:type="spellStart"/>
      <w:r>
        <w:rPr>
          <w:rFonts w:cs="Arial"/>
        </w:rPr>
        <w:t>organised</w:t>
      </w:r>
      <w:proofErr w:type="spellEnd"/>
      <w:r>
        <w:rPr>
          <w:rFonts w:cs="Arial"/>
        </w:rPr>
        <w:t xml:space="preserve"> construction of affordable, high-density urban housing </w:t>
      </w:r>
      <w:r w:rsidR="00445CC5">
        <w:rPr>
          <w:rFonts w:cs="Arial"/>
        </w:rPr>
        <w:t>-</w:t>
      </w:r>
      <w:r>
        <w:rPr>
          <w:rFonts w:cs="Arial"/>
        </w:rPr>
        <w:t xml:space="preserve"> directly alleviating spatial imbalances in the Kathmandu Valley </w:t>
      </w:r>
      <w:r w:rsidR="00445CC5">
        <w:rPr>
          <w:rFonts w:cs="Arial"/>
        </w:rPr>
        <w:t>-</w:t>
      </w:r>
      <w:r>
        <w:rPr>
          <w:rFonts w:cs="Arial"/>
        </w:rPr>
        <w:t xml:space="preserve"> while providing overseas remitters with a </w:t>
      </w:r>
      <w:proofErr w:type="spellStart"/>
      <w:r>
        <w:rPr>
          <w:rFonts w:cs="Arial"/>
        </w:rPr>
        <w:t>formalised</w:t>
      </w:r>
      <w:proofErr w:type="spellEnd"/>
      <w:r>
        <w:rPr>
          <w:rFonts w:cs="Arial"/>
        </w:rPr>
        <w:t>, regulated return on investment.</w:t>
      </w:r>
    </w:p>
    <w:p w14:paraId="31B0EDC6" w14:textId="77777777" w:rsidR="003D7881" w:rsidRDefault="003D7881" w:rsidP="00445CC5">
      <w:pPr>
        <w:spacing w:after="60"/>
        <w:jc w:val="both"/>
      </w:pPr>
    </w:p>
    <w:p w14:paraId="6B9E88D0" w14:textId="77777777" w:rsidR="003D7881" w:rsidRDefault="003D7881" w:rsidP="00445CC5">
      <w:pPr>
        <w:spacing w:after="300"/>
        <w:jc w:val="both"/>
      </w:pPr>
    </w:p>
    <w:p w14:paraId="3BF38322" w14:textId="77777777" w:rsidR="003D7881" w:rsidRDefault="00000000" w:rsidP="00445CC5">
      <w:pPr>
        <w:jc w:val="both"/>
      </w:pPr>
      <w:r>
        <w:rPr>
          <w:rFonts w:cs="Arial"/>
          <w:i/>
          <w:iCs/>
          <w:color w:val="999999"/>
          <w:sz w:val="17"/>
          <w:szCs w:val="17"/>
        </w:rPr>
        <w:t xml:space="preserve">This timeline was compiled from: Structural, Regulatory, and Macroeconomic Dynamics of Nepal's Real Estate Market: A Decade in Review (2014–2024). All citation numbers in the text are hyperlinked to their original source documents. Data sourced from NRB, CBS Nepal Population Census, World Bank, </w:t>
      </w:r>
      <w:proofErr w:type="spellStart"/>
      <w:r>
        <w:rPr>
          <w:rFonts w:cs="Arial"/>
          <w:i/>
          <w:iCs/>
          <w:color w:val="999999"/>
          <w:sz w:val="17"/>
          <w:szCs w:val="17"/>
        </w:rPr>
        <w:t>DoLMA</w:t>
      </w:r>
      <w:proofErr w:type="spellEnd"/>
      <w:r>
        <w:rPr>
          <w:rFonts w:cs="Arial"/>
          <w:i/>
          <w:iCs/>
          <w:color w:val="999999"/>
          <w:sz w:val="17"/>
          <w:szCs w:val="17"/>
        </w:rPr>
        <w:t>, and major Nepali financial publications.</w:t>
      </w:r>
    </w:p>
    <w:sectPr w:rsidR="003D7881">
      <w:headerReference w:type="default" r:id="rId132"/>
      <w:footerReference w:type="default" r:id="rId133"/>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885FB" w14:textId="77777777" w:rsidR="00950709" w:rsidRDefault="00950709">
      <w:r>
        <w:separator/>
      </w:r>
    </w:p>
  </w:endnote>
  <w:endnote w:type="continuationSeparator" w:id="0">
    <w:p w14:paraId="49BDBE1D" w14:textId="77777777" w:rsidR="00950709" w:rsidRDefault="0095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88DF" w14:textId="7C48F190" w:rsidR="003D7881" w:rsidRDefault="003D7881">
    <w:pPr>
      <w:pBdr>
        <w:top w:val="single" w:sz="4" w:space="2" w:color="E0D8CC"/>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B8B84" w14:textId="77777777" w:rsidR="00950709" w:rsidRDefault="00950709">
      <w:r>
        <w:separator/>
      </w:r>
    </w:p>
  </w:footnote>
  <w:footnote w:type="continuationSeparator" w:id="0">
    <w:p w14:paraId="0AAAFA47" w14:textId="77777777" w:rsidR="00950709" w:rsidRDefault="00950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F93C" w14:textId="558C85CC" w:rsidR="003D7881" w:rsidRDefault="00445CC5">
    <w:pPr>
      <w:pBdr>
        <w:bottom w:val="single" w:sz="4" w:space="2" w:color="E0D8CC"/>
      </w:pBdr>
      <w:jc w:val="right"/>
    </w:pPr>
    <w:r w:rsidRPr="00445CC5">
      <w:rPr>
        <w:rFonts w:cs="Arial"/>
        <w:color w:val="999999"/>
        <w:sz w:val="17"/>
        <w:szCs w:val="17"/>
      </w:rPr>
      <w:t xml:space="preserve">What happened to the expensive </w:t>
    </w:r>
    <w:proofErr w:type="gramStart"/>
    <w:r w:rsidRPr="00445CC5">
      <w:rPr>
        <w:rFonts w:cs="Arial"/>
        <w:color w:val="999999"/>
        <w:sz w:val="17"/>
        <w:szCs w:val="17"/>
      </w:rPr>
      <w:t>dirt?</w:t>
    </w:r>
    <w:r w:rsidR="00000000">
      <w:rPr>
        <w:rFonts w:cs="Arial"/>
        <w:color w:val="999999"/>
        <w:sz w:val="17"/>
        <w:szCs w:val="17"/>
      </w:rPr>
      <w:t>:</w:t>
    </w:r>
    <w:proofErr w:type="gramEnd"/>
    <w:r w:rsidR="00000000">
      <w:rPr>
        <w:rFonts w:cs="Arial"/>
        <w:color w:val="999999"/>
        <w:sz w:val="17"/>
        <w:szCs w:val="17"/>
      </w:rPr>
      <w:t xml:space="preserve"> A Decade in Review (2014–2026)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72ABA"/>
    <w:multiLevelType w:val="hybridMultilevel"/>
    <w:tmpl w:val="DD54888A"/>
    <w:lvl w:ilvl="0" w:tplc="768C66CA">
      <w:start w:val="1"/>
      <w:numFmt w:val="bullet"/>
      <w:lvlText w:val="•"/>
      <w:lvlJc w:val="left"/>
      <w:pPr>
        <w:ind w:left="440" w:hanging="220"/>
      </w:pPr>
    </w:lvl>
    <w:lvl w:ilvl="1" w:tplc="BB124968">
      <w:numFmt w:val="decimal"/>
      <w:lvlText w:val=""/>
      <w:lvlJc w:val="left"/>
    </w:lvl>
    <w:lvl w:ilvl="2" w:tplc="96CA6A5C">
      <w:numFmt w:val="decimal"/>
      <w:lvlText w:val=""/>
      <w:lvlJc w:val="left"/>
    </w:lvl>
    <w:lvl w:ilvl="3" w:tplc="EA6E0FF0">
      <w:numFmt w:val="decimal"/>
      <w:lvlText w:val=""/>
      <w:lvlJc w:val="left"/>
    </w:lvl>
    <w:lvl w:ilvl="4" w:tplc="AA540610">
      <w:numFmt w:val="decimal"/>
      <w:lvlText w:val=""/>
      <w:lvlJc w:val="left"/>
    </w:lvl>
    <w:lvl w:ilvl="5" w:tplc="184ED696">
      <w:numFmt w:val="decimal"/>
      <w:lvlText w:val=""/>
      <w:lvlJc w:val="left"/>
    </w:lvl>
    <w:lvl w:ilvl="6" w:tplc="DECCFA3A">
      <w:numFmt w:val="decimal"/>
      <w:lvlText w:val=""/>
      <w:lvlJc w:val="left"/>
    </w:lvl>
    <w:lvl w:ilvl="7" w:tplc="2B024948">
      <w:numFmt w:val="decimal"/>
      <w:lvlText w:val=""/>
      <w:lvlJc w:val="left"/>
    </w:lvl>
    <w:lvl w:ilvl="8" w:tplc="AB72C8AC">
      <w:numFmt w:val="decimal"/>
      <w:lvlText w:val=""/>
      <w:lvlJc w:val="left"/>
    </w:lvl>
  </w:abstractNum>
  <w:abstractNum w:abstractNumId="1" w15:restartNumberingAfterBreak="0">
    <w:nsid w:val="2E8151C2"/>
    <w:multiLevelType w:val="hybridMultilevel"/>
    <w:tmpl w:val="9E8E2654"/>
    <w:lvl w:ilvl="0" w:tplc="CDF003C0">
      <w:start w:val="1"/>
      <w:numFmt w:val="bullet"/>
      <w:lvlText w:val="●"/>
      <w:lvlJc w:val="left"/>
      <w:pPr>
        <w:ind w:left="720" w:hanging="360"/>
      </w:pPr>
    </w:lvl>
    <w:lvl w:ilvl="1" w:tplc="3EBE7200">
      <w:start w:val="1"/>
      <w:numFmt w:val="bullet"/>
      <w:lvlText w:val="○"/>
      <w:lvlJc w:val="left"/>
      <w:pPr>
        <w:ind w:left="1440" w:hanging="360"/>
      </w:pPr>
    </w:lvl>
    <w:lvl w:ilvl="2" w:tplc="C4AC7782">
      <w:start w:val="1"/>
      <w:numFmt w:val="bullet"/>
      <w:lvlText w:val="■"/>
      <w:lvlJc w:val="left"/>
      <w:pPr>
        <w:ind w:left="2160" w:hanging="360"/>
      </w:pPr>
    </w:lvl>
    <w:lvl w:ilvl="3" w:tplc="30185BD0">
      <w:start w:val="1"/>
      <w:numFmt w:val="bullet"/>
      <w:lvlText w:val="●"/>
      <w:lvlJc w:val="left"/>
      <w:pPr>
        <w:ind w:left="2880" w:hanging="360"/>
      </w:pPr>
    </w:lvl>
    <w:lvl w:ilvl="4" w:tplc="A49EBC94">
      <w:start w:val="1"/>
      <w:numFmt w:val="bullet"/>
      <w:lvlText w:val="○"/>
      <w:lvlJc w:val="left"/>
      <w:pPr>
        <w:ind w:left="3600" w:hanging="360"/>
      </w:pPr>
    </w:lvl>
    <w:lvl w:ilvl="5" w:tplc="F7FABD76">
      <w:start w:val="1"/>
      <w:numFmt w:val="bullet"/>
      <w:lvlText w:val="■"/>
      <w:lvlJc w:val="left"/>
      <w:pPr>
        <w:ind w:left="4320" w:hanging="360"/>
      </w:pPr>
    </w:lvl>
    <w:lvl w:ilvl="6" w:tplc="EDFEDE54">
      <w:start w:val="1"/>
      <w:numFmt w:val="bullet"/>
      <w:lvlText w:val="●"/>
      <w:lvlJc w:val="left"/>
      <w:pPr>
        <w:ind w:left="5040" w:hanging="360"/>
      </w:pPr>
    </w:lvl>
    <w:lvl w:ilvl="7" w:tplc="FC948642">
      <w:start w:val="1"/>
      <w:numFmt w:val="bullet"/>
      <w:lvlText w:val="●"/>
      <w:lvlJc w:val="left"/>
      <w:pPr>
        <w:ind w:left="5760" w:hanging="360"/>
      </w:pPr>
    </w:lvl>
    <w:lvl w:ilvl="8" w:tplc="0B7E2534">
      <w:start w:val="1"/>
      <w:numFmt w:val="bullet"/>
      <w:lvlText w:val="●"/>
      <w:lvlJc w:val="left"/>
      <w:pPr>
        <w:ind w:left="6480" w:hanging="360"/>
      </w:pPr>
    </w:lvl>
  </w:abstractNum>
  <w:abstractNum w:abstractNumId="2" w15:restartNumberingAfterBreak="0">
    <w:nsid w:val="4815061D"/>
    <w:multiLevelType w:val="hybridMultilevel"/>
    <w:tmpl w:val="8B060E1A"/>
    <w:lvl w:ilvl="0" w:tplc="822A2C38">
      <w:start w:val="1"/>
      <w:numFmt w:val="bullet"/>
      <w:lvlText w:val="–"/>
      <w:lvlJc w:val="left"/>
      <w:pPr>
        <w:ind w:left="320" w:hanging="200"/>
      </w:pPr>
    </w:lvl>
    <w:lvl w:ilvl="1" w:tplc="ABCC22FC">
      <w:numFmt w:val="decimal"/>
      <w:lvlText w:val=""/>
      <w:lvlJc w:val="left"/>
    </w:lvl>
    <w:lvl w:ilvl="2" w:tplc="8370E812">
      <w:numFmt w:val="decimal"/>
      <w:lvlText w:val=""/>
      <w:lvlJc w:val="left"/>
    </w:lvl>
    <w:lvl w:ilvl="3" w:tplc="84E85A84">
      <w:numFmt w:val="decimal"/>
      <w:lvlText w:val=""/>
      <w:lvlJc w:val="left"/>
    </w:lvl>
    <w:lvl w:ilvl="4" w:tplc="DDB4F210">
      <w:numFmt w:val="decimal"/>
      <w:lvlText w:val=""/>
      <w:lvlJc w:val="left"/>
    </w:lvl>
    <w:lvl w:ilvl="5" w:tplc="D3945022">
      <w:numFmt w:val="decimal"/>
      <w:lvlText w:val=""/>
      <w:lvlJc w:val="left"/>
    </w:lvl>
    <w:lvl w:ilvl="6" w:tplc="930A69DC">
      <w:numFmt w:val="decimal"/>
      <w:lvlText w:val=""/>
      <w:lvlJc w:val="left"/>
    </w:lvl>
    <w:lvl w:ilvl="7" w:tplc="A5C0248E">
      <w:numFmt w:val="decimal"/>
      <w:lvlText w:val=""/>
      <w:lvlJc w:val="left"/>
    </w:lvl>
    <w:lvl w:ilvl="8" w:tplc="B1EE9098">
      <w:numFmt w:val="decimal"/>
      <w:lvlText w:val=""/>
      <w:lvlJc w:val="left"/>
    </w:lvl>
  </w:abstractNum>
  <w:num w:numId="1" w16cid:durableId="927544490">
    <w:abstractNumId w:val="1"/>
    <w:lvlOverride w:ilvl="0">
      <w:startOverride w:val="1"/>
    </w:lvlOverride>
  </w:num>
  <w:num w:numId="2" w16cid:durableId="404376561">
    <w:abstractNumId w:val="2"/>
    <w:lvlOverride w:ilvl="0">
      <w:startOverride w:val="1"/>
    </w:lvlOverride>
  </w:num>
  <w:num w:numId="3" w16cid:durableId="12166264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881"/>
    <w:rsid w:val="003D7881"/>
    <w:rsid w:val="00445CC5"/>
    <w:rsid w:val="005E26D9"/>
    <w:rsid w:val="00836EBE"/>
    <w:rsid w:val="00950709"/>
    <w:rsid w:val="00E222A3"/>
    <w:rsid w:val="00FB7A9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4:docId w14:val="1817539B"/>
  <w15:docId w15:val="{F9A270D3-36CD-5246-B92F-B3A11596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C1917"/>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45CC5"/>
    <w:pPr>
      <w:tabs>
        <w:tab w:val="center" w:pos="4680"/>
        <w:tab w:val="right" w:pos="9360"/>
      </w:tabs>
    </w:pPr>
    <w:rPr>
      <w:szCs w:val="18"/>
    </w:rPr>
  </w:style>
  <w:style w:type="character" w:customStyle="1" w:styleId="HeaderChar">
    <w:name w:val="Header Char"/>
    <w:basedOn w:val="DefaultParagraphFont"/>
    <w:link w:val="Header"/>
    <w:uiPriority w:val="99"/>
    <w:rsid w:val="00445CC5"/>
    <w:rPr>
      <w:rFonts w:cs="Mangal"/>
      <w:szCs w:val="18"/>
    </w:rPr>
  </w:style>
  <w:style w:type="paragraph" w:styleId="Footer">
    <w:name w:val="footer"/>
    <w:basedOn w:val="Normal"/>
    <w:link w:val="FooterChar"/>
    <w:uiPriority w:val="99"/>
    <w:unhideWhenUsed/>
    <w:rsid w:val="00445CC5"/>
    <w:pPr>
      <w:tabs>
        <w:tab w:val="center" w:pos="4680"/>
        <w:tab w:val="right" w:pos="9360"/>
      </w:tabs>
    </w:pPr>
    <w:rPr>
      <w:szCs w:val="18"/>
    </w:rPr>
  </w:style>
  <w:style w:type="character" w:customStyle="1" w:styleId="FooterChar">
    <w:name w:val="Footer Char"/>
    <w:basedOn w:val="DefaultParagraphFont"/>
    <w:link w:val="Footer"/>
    <w:uiPriority w:val="99"/>
    <w:rsid w:val="00445CC5"/>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thehimalayantimes.com/business/nrb-publishes-first-real-estate-marketstatus-report" TargetMode="External"/><Relationship Id="rId21" Type="http://schemas.openxmlformats.org/officeDocument/2006/relationships/hyperlink" Target="https://www.mdpi.com/2227-7099/13/6/163" TargetMode="External"/><Relationship Id="rId42" Type="http://schemas.openxmlformats.org/officeDocument/2006/relationships/hyperlink" Target="https://documents1.worldbank.org/curated/en/099439009302442870/pdf/IDU1bade747310f41144991a576183a9a3eb57d4.pdf" TargetMode="External"/><Relationship Id="rId63" Type="http://schemas.openxmlformats.org/officeDocument/2006/relationships/hyperlink" Target="https://english.nepalnews.com/s/business/nepals-real-estate-trends-key-insights-fy-2022-23-2024-25/" TargetMode="External"/><Relationship Id="rId84" Type="http://schemas.openxmlformats.org/officeDocument/2006/relationships/hyperlink" Target="https://kathmandupost.com/national/2021/08/09/supreme-court-orders-government-not-to-implement-its-decision-to-scrap-land-commission" TargetMode="External"/><Relationship Id="rId16" Type="http://schemas.openxmlformats.org/officeDocument/2006/relationships/hyperlink" Target="https://www.theseus.fi/bitstream/10024/893920/3/Chamling%20Rai_Jiten.pdf" TargetMode="External"/><Relationship Id="rId107" Type="http://schemas.openxmlformats.org/officeDocument/2006/relationships/hyperlink" Target="https://thehimalayantimes.com/business/nrb-publishes-first-real-estate-marketstatus-report" TargetMode="External"/><Relationship Id="rId11" Type="http://schemas.openxmlformats.org/officeDocument/2006/relationships/hyperlink" Target="https://www.researchgate.net/publication/390704723_National_Population_and_Housing_Census_2021_Internal_Migration_in_Nepal" TargetMode="External"/><Relationship Id="rId32" Type="http://schemas.openxmlformats.org/officeDocument/2006/relationships/hyperlink" Target="https://www.sharesansar.com/newsdetail/real-estate-transactions-experience-significant-decline-in-fy-207980-2023-07-20" TargetMode="External"/><Relationship Id="rId37" Type="http://schemas.openxmlformats.org/officeDocument/2006/relationships/hyperlink" Target="https://www.nrb.org.np/contents/uploads/2024/08/Asar_2081_Publish.pdf" TargetMode="External"/><Relationship Id="rId53" Type="http://schemas.openxmlformats.org/officeDocument/2006/relationships/hyperlink" Target="https://ekantipur.com/en/business/2025/10/24/why-is-the-real-estate-business-continuously-declining-44-44.html" TargetMode="External"/><Relationship Id="rId58" Type="http://schemas.openxmlformats.org/officeDocument/2006/relationships/hyperlink" Target="https://www.nrb.org.np/contents/uploads/2025/03/Annual-Bank-Supervision-Report-2024-3.pdf" TargetMode="External"/><Relationship Id="rId74" Type="http://schemas.openxmlformats.org/officeDocument/2006/relationships/hyperlink" Target="https://kathmandupost.com/national/2026/01/18/supreme-court-partially-overturns-ruling-on-additional-20-metre-buffer-along-riverbanks" TargetMode="External"/><Relationship Id="rId79" Type="http://schemas.openxmlformats.org/officeDocument/2006/relationships/hyperlink" Target="https://www.myrepublica.nagariknetwork.com/index.php/news/govt-removes-land-ceiling-for-housing-developers-allowing-them-to-sell-unit-22-53.html" TargetMode="External"/><Relationship Id="rId102" Type="http://schemas.openxmlformats.org/officeDocument/2006/relationships/hyperlink" Target="https://www.newbusinessage.com/news/46157/government-lifts-ban-on-land-subdivision-in-municipalities-without-land-classification/" TargetMode="External"/><Relationship Id="rId123" Type="http://schemas.openxmlformats.org/officeDocument/2006/relationships/hyperlink" Target="https://www.nrb.org.np/contents/uploads/2023/09/Nepal-MER-2023.pdf" TargetMode="External"/><Relationship Id="rId128" Type="http://schemas.openxmlformats.org/officeDocument/2006/relationships/hyperlink" Target="https://portal.nyef.org.np/handbook/registering-property" TargetMode="External"/><Relationship Id="rId5" Type="http://schemas.openxmlformats.org/officeDocument/2006/relationships/footnotes" Target="footnotes.xml"/><Relationship Id="rId90" Type="http://schemas.openxmlformats.org/officeDocument/2006/relationships/hyperlink" Target="https://risk.lexisnexis.com/global/en/insights-resources/article/aml-terror-financing-risks-as-nepal-reenters-fatf-grey-list" TargetMode="External"/><Relationship Id="rId95" Type="http://schemas.openxmlformats.org/officeDocument/2006/relationships/hyperlink" Target="https://www.attorneynepal.com/blog/ird-pan-search-nepal" TargetMode="External"/><Relationship Id="rId22" Type="http://schemas.openxmlformats.org/officeDocument/2006/relationships/hyperlink" Target="https://www.researchgate.net/publication/379843098_REMITTANCE_IN_NEPAL_STATUS_TREND_AND_ECONOMIC_IMPACTS" TargetMode="External"/><Relationship Id="rId27" Type="http://schemas.openxmlformats.org/officeDocument/2006/relationships/hyperlink" Target="https://www.nrb.org.np/red/vol28-1_art4/" TargetMode="External"/><Relationship Id="rId43" Type="http://schemas.openxmlformats.org/officeDocument/2006/relationships/hyperlink" Target="https://documents1.worldbank.org/curated/en/099439009302442870/pdf/IDU1bade747310f41144991a576183a9a3eb57d4.pdf" TargetMode="External"/><Relationship Id="rId48" Type="http://schemas.openxmlformats.org/officeDocument/2006/relationships/hyperlink" Target="https://www.newbusinessage.com/news/46157/government-lifts-ban-on-land-subdivision-in-municipalities-without-land-classification/" TargetMode="External"/><Relationship Id="rId64" Type="http://schemas.openxmlformats.org/officeDocument/2006/relationships/hyperlink" Target="https://primelawnepal.com/an-overview-of-tax-law-in-nepal/" TargetMode="External"/><Relationship Id="rId69" Type="http://schemas.openxmlformats.org/officeDocument/2006/relationships/hyperlink" Target="https://www.newbusinessage.com/news/46157/government-lifts-ban-on-land-subdivision-in-municipalities-without-land-classification/" TargetMode="External"/><Relationship Id="rId113" Type="http://schemas.openxmlformats.org/officeDocument/2006/relationships/hyperlink" Target="https://newbusinessage.com/news/47052/supreme-court-overturns-mandatory20-metre-setback-along-riverbanks/" TargetMode="External"/><Relationship Id="rId118" Type="http://schemas.openxmlformats.org/officeDocument/2006/relationships/hyperlink" Target="https://newbusinessage.com/news/44759/nepals-real-estate-market-shows-modest-signs-of-recovery/" TargetMode="External"/><Relationship Id="rId134" Type="http://schemas.openxmlformats.org/officeDocument/2006/relationships/fontTable" Target="fontTable.xml"/><Relationship Id="rId80" Type="http://schemas.openxmlformats.org/officeDocument/2006/relationships/hyperlink" Target="https://kathmandupost.com/national/2025/05/29/government-moves-to-ease-land-ceiling-restrictions-for-real-estate-firms" TargetMode="External"/><Relationship Id="rId85" Type="http://schemas.openxmlformats.org/officeDocument/2006/relationships/hyperlink" Target="https://ekantipur.com/business/2025/06/10/en/500-municipalities-did-not-classify-the-land-if-it-is-not-done-within-june-sales-will-be-stopped-02-29.html" TargetMode="External"/><Relationship Id="rId12" Type="http://schemas.openxmlformats.org/officeDocument/2006/relationships/hyperlink" Target="https://censusnepal.cbs.gov.np/results/files/result-folder/Urbanization%20and%20Development%20in%20Nepal.pdf" TargetMode="External"/><Relationship Id="rId17" Type="http://schemas.openxmlformats.org/officeDocument/2006/relationships/hyperlink" Target="https://nepjol.info/index.php/irjp/article/download/75987/58300/220035" TargetMode="External"/><Relationship Id="rId33" Type="http://schemas.openxmlformats.org/officeDocument/2006/relationships/hyperlink" Target="https://thehimalayantimes.com/business/nrb-publishes-first-real-estate-marketstatus-report" TargetMode="External"/><Relationship Id="rId38" Type="http://schemas.openxmlformats.org/officeDocument/2006/relationships/hyperlink" Target="https://www.purbelirealestate.com/blogs/factors-influencing-real-estate/" TargetMode="External"/><Relationship Id="rId59" Type="http://schemas.openxmlformats.org/officeDocument/2006/relationships/hyperlink" Target="https://www.nrb.org.np/contents/uploads/2025/04/Financial-Stability-Report.pdf" TargetMode="External"/><Relationship Id="rId103" Type="http://schemas.openxmlformats.org/officeDocument/2006/relationships/hyperlink" Target="https://english.nepalnews.com/s/business/nepals-real-estate-trends-key-insights-fy-2022-23-2024-25/" TargetMode="External"/><Relationship Id="rId108" Type="http://schemas.openxmlformats.org/officeDocument/2006/relationships/hyperlink" Target="https://www.culturalsurvival.org/news/historic-victory-nepals-supreme-court-mandates-nationwide-implementation-treaties-indigenous" TargetMode="External"/><Relationship Id="rId124" Type="http://schemas.openxmlformats.org/officeDocument/2006/relationships/hyperlink" Target="https://risk.lexisnexis.com/global/en/insights-resources/article/aml-terror-financing-risks-as-nepal-reenters-fatf-grey-list" TargetMode="External"/><Relationship Id="rId129" Type="http://schemas.openxmlformats.org/officeDocument/2006/relationships/hyperlink" Target="https://risingnepaldaily.com/news/78902" TargetMode="External"/><Relationship Id="rId54" Type="http://schemas.openxmlformats.org/officeDocument/2006/relationships/hyperlink" Target="https://www.sharesansar.com/newsdetail/real-estate-transactions-experience-significant-decline-in-fy-207980-2023-07-20" TargetMode="External"/><Relationship Id="rId70" Type="http://schemas.openxmlformats.org/officeDocument/2006/relationships/hyperlink" Target="https://myrepublica.nagariknetwork.com/news/sc-reverses-previous-ruling-on-an-additional-20-meter-riverbank-standard-45-38.html" TargetMode="External"/><Relationship Id="rId75" Type="http://schemas.openxmlformats.org/officeDocument/2006/relationships/hyperlink" Target="https://myrepublica.nagariknetwork.com/news/writ-filed-challenging-govt-plan-to-evacuate-riverbank-settlement-18-18.html" TargetMode="External"/><Relationship Id="rId91" Type="http://schemas.openxmlformats.org/officeDocument/2006/relationships/hyperlink" Target="https://www.nrb.org.np/contents/uploads/2023/09/Nepal-MER-2023.pdf" TargetMode="External"/><Relationship Id="rId96" Type="http://schemas.openxmlformats.org/officeDocument/2006/relationships/hyperlink" Target="https://www.nrb.org.np/contents/uploads/2023/09/Nepal-MER-2023.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journal.jfpublisher.com/index.php/joe/article/download/514/897" TargetMode="External"/><Relationship Id="rId28" Type="http://schemas.openxmlformats.org/officeDocument/2006/relationships/hyperlink" Target="https://www.sharesansar.com/newsdetail/nepse-at-38-times-earnings-we-are-among-the-worlds-most-expensive-stock-markets-2026-04-10" TargetMode="External"/><Relationship Id="rId49" Type="http://schemas.openxmlformats.org/officeDocument/2006/relationships/hyperlink" Target="https://thehimalayantimes.com/business/land-use-regulation-affects-realty" TargetMode="External"/><Relationship Id="rId114" Type="http://schemas.openxmlformats.org/officeDocument/2006/relationships/hyperlink" Target="https://peoplesreview.com.np/2026/01/18/sc-alters-its-previous-decision-on-bagmati-river-bank/" TargetMode="External"/><Relationship Id="rId119" Type="http://schemas.openxmlformats.org/officeDocument/2006/relationships/hyperlink" Target="https://english.nepalnews.com/s/business/nepals-real-estate-trends-key-insights-fy-2022-23-2024-25/" TargetMode="External"/><Relationship Id="rId44" Type="http://schemas.openxmlformats.org/officeDocument/2006/relationships/hyperlink" Target="https://www.nrb.org.np/" TargetMode="External"/><Relationship Id="rId60" Type="http://schemas.openxmlformats.org/officeDocument/2006/relationships/hyperlink" Target="https://english.nepalnews.com/s/business/nepals-real-estate-trends-key-insights-fy-2022-23-2024-25/" TargetMode="External"/><Relationship Id="rId65" Type="http://schemas.openxmlformats.org/officeDocument/2006/relationships/hyperlink" Target="https://risingnepaldaily.com/news/78902" TargetMode="External"/><Relationship Id="rId81" Type="http://schemas.openxmlformats.org/officeDocument/2006/relationships/hyperlink" Target="https://www.sharesansar.com/newsdetail/government-lifts-land-ceiling-for-housing-developers-2025-11-30" TargetMode="External"/><Relationship Id="rId86" Type="http://schemas.openxmlformats.org/officeDocument/2006/relationships/hyperlink" Target="https://www.newbusinessage.com/news/46157/government-lifts-ban-on-land-subdivision-in-municipalities-without-land-classification/" TargetMode="External"/><Relationship Id="rId130" Type="http://schemas.openxmlformats.org/officeDocument/2006/relationships/hyperlink" Target="https://kathmandupost.com/national/2026/01/18/supreme-court-partially-overturns-ruling-on-additional-20-metre-buffer-along-riverbanks" TargetMode="External"/><Relationship Id="rId135" Type="http://schemas.openxmlformats.org/officeDocument/2006/relationships/theme" Target="theme/theme1.xml"/><Relationship Id="rId13" Type="http://schemas.openxmlformats.org/officeDocument/2006/relationships/hyperlink" Target="https://janakpurmun.gov.np" TargetMode="External"/><Relationship Id="rId18" Type="http://schemas.openxmlformats.org/officeDocument/2006/relationships/hyperlink" Target="https://migrantmoney.uncdf.org/wp-content/uploads/2023/02/Nepal-Country-Assessments.pdf" TargetMode="External"/><Relationship Id="rId39" Type="http://schemas.openxmlformats.org/officeDocument/2006/relationships/hyperlink" Target="https://www.crowe.com/np/-/media/crowe/firms/asia-pacific/np/crowehorwathnp/files/insights/bkag--concise-budget-highlights-fy-208283.pdf" TargetMode="External"/><Relationship Id="rId109" Type="http://schemas.openxmlformats.org/officeDocument/2006/relationships/hyperlink" Target="https://www.myrepublica.nagariknetwork.com/index.php/news/govt-removes-land-ceiling-for-housing-developers-allowing-them-to-sell-unit-22-53.html" TargetMode="External"/><Relationship Id="rId34" Type="http://schemas.openxmlformats.org/officeDocument/2006/relationships/hyperlink" Target="https://pioneerlaw.com/resource/commentary-on-the-budget-speech-fy-2081-82-2024-2025-investment-in-nepal/" TargetMode="External"/><Relationship Id="rId50" Type="http://schemas.openxmlformats.org/officeDocument/2006/relationships/hyperlink" Target="https://www.sharesansar.com/newsdetail/real-estate-transactions-experience-significant-decline-in-fy-207980-2023-07-20" TargetMode="External"/><Relationship Id="rId55" Type="http://schemas.openxmlformats.org/officeDocument/2006/relationships/hyperlink" Target="https://www.nrb.org.np/contents/uploads/2025/07/Annual-Report-2023-24-English.pdf" TargetMode="External"/><Relationship Id="rId76" Type="http://schemas.openxmlformats.org/officeDocument/2006/relationships/hyperlink" Target="https://newbusinessage.com/news/44759/nepals-real-estate-market-shows-modest-signs-of-recovery/" TargetMode="External"/><Relationship Id="rId97" Type="http://schemas.openxmlformats.org/officeDocument/2006/relationships/hyperlink" Target="https://news.mongabay.com/2025/01/nepals-top-court-strikes-down-law-allowing-development-in-protected-areas/" TargetMode="External"/><Relationship Id="rId104" Type="http://schemas.openxmlformats.org/officeDocument/2006/relationships/hyperlink" Target="https://nepsetrading.com/blog/record-real-estate-revenue-masks-structural-risks-from-local-level-lapses" TargetMode="External"/><Relationship Id="rId120" Type="http://schemas.openxmlformats.org/officeDocument/2006/relationships/hyperlink" Target="https://ekantipur.com/en/business/2025/10/24/why-is-the-real-estate-business-continuously-declining-44-44.html" TargetMode="External"/><Relationship Id="rId125" Type="http://schemas.openxmlformats.org/officeDocument/2006/relationships/hyperlink" Target="https://www.newbusinessage.com/news/46157/government-lifts-ban-on-land-subdivision-in-municipalities-without-land-classification/" TargetMode="External"/><Relationship Id="rId7" Type="http://schemas.openxmlformats.org/officeDocument/2006/relationships/hyperlink" Target="https://censusnepal.cbs.gov.np/results/files/result-folder/Urbanization%20and%20Development%20in%20Nepal.pdf" TargetMode="External"/><Relationship Id="rId71" Type="http://schemas.openxmlformats.org/officeDocument/2006/relationships/hyperlink" Target="https://kathmandupost.com/national/2026/01/18/supreme-court-partially-overturns-ruling-on-additional-20-metre-buffer-along-riverbanks" TargetMode="External"/><Relationship Id="rId92" Type="http://schemas.openxmlformats.org/officeDocument/2006/relationships/hyperlink" Target="https://risk.lexisnexis.com/global/en/insights-resources/article/aml-terror-financing-risks-as-nepal-reenters-fatf-grey-list" TargetMode="External"/><Relationship Id="rId2" Type="http://schemas.openxmlformats.org/officeDocument/2006/relationships/styles" Target="styles.xml"/><Relationship Id="rId29" Type="http://schemas.openxmlformats.org/officeDocument/2006/relationships/hyperlink" Target="https://www.worldbank.org/en/country/nepal/publication/nepaldevelopmentupdate" TargetMode="External"/><Relationship Id="rId24" Type="http://schemas.openxmlformats.org/officeDocument/2006/relationships/hyperlink" Target="https://www.researchgate.net/publication/381160756_Nepal_Real_Estate_Landscape" TargetMode="External"/><Relationship Id="rId40" Type="http://schemas.openxmlformats.org/officeDocument/2006/relationships/hyperlink" Target="https://www.worldbank.org/en/country/nepal/publication/nepaldevelopmentupdate" TargetMode="External"/><Relationship Id="rId45" Type="http://schemas.openxmlformats.org/officeDocument/2006/relationships/hyperlink" Target="https://documents1.worldbank.org/curated/en/099439009302442870/pdf/IDU1bade747310f41144991a576183a9a3eb57d4.pdf" TargetMode="External"/><Relationship Id="rId66" Type="http://schemas.openxmlformats.org/officeDocument/2006/relationships/hyperlink" Target="https://portal.nyef.org.np/handbook/registering-property" TargetMode="External"/><Relationship Id="rId87" Type="http://schemas.openxmlformats.org/officeDocument/2006/relationships/hyperlink" Target="https://www.newbusinessage.com/news/48293/nepal-rastra-bank-to-develop-real-estate-price-index-to-address-valuation-gaps/" TargetMode="External"/><Relationship Id="rId110" Type="http://schemas.openxmlformats.org/officeDocument/2006/relationships/hyperlink" Target="https://kathmandupost.com/national/2025/05/29/government-moves-to-ease-land-ceiling-restrictions-for-real-estate-firms" TargetMode="External"/><Relationship Id="rId115" Type="http://schemas.openxmlformats.org/officeDocument/2006/relationships/hyperlink" Target="https://kathmandupost.com/national/2026/01/18/supreme-court-partially-overturns-ruling-on-additional-20-metre-buffer-along-riverbanks" TargetMode="External"/><Relationship Id="rId131" Type="http://schemas.openxmlformats.org/officeDocument/2006/relationships/hyperlink" Target="https://nepaleconomicforum.org/reform-2-0-issues-of-nepals-structural-economic-transformation/" TargetMode="External"/><Relationship Id="rId61" Type="http://schemas.openxmlformats.org/officeDocument/2006/relationships/hyperlink" Target="https://www.nrb.org.np/contents/uploads/2025/04/Financial-Stability-Report.pdf" TargetMode="External"/><Relationship Id="rId82" Type="http://schemas.openxmlformats.org/officeDocument/2006/relationships/hyperlink" Target="https://news.mongabay.com/2024/05/nepal-court-rules-protected-areas-and-forests-off-limits-for-land-distribution/" TargetMode="External"/><Relationship Id="rId19" Type="http://schemas.openxmlformats.org/officeDocument/2006/relationships/hyperlink" Target="https://www.mdpi.com/2227-7099/13/6/163" TargetMode="External"/><Relationship Id="rId14" Type="http://schemas.openxmlformats.org/officeDocument/2006/relationships/hyperlink" Target="https://www.nrb.org.np/" TargetMode="External"/><Relationship Id="rId30" Type="http://schemas.openxmlformats.org/officeDocument/2006/relationships/hyperlink" Target="https://www.reddit.com/r/Nepal/comments/wuzerq/new_land_use_policy_and_its_effect_on_real_estate/" TargetMode="External"/><Relationship Id="rId35" Type="http://schemas.openxmlformats.org/officeDocument/2006/relationships/hyperlink" Target="https://english.nepalnews.com/s/business/nepal-news-evening-economic-brief-april-24-2026/" TargetMode="External"/><Relationship Id="rId56" Type="http://schemas.openxmlformats.org/officeDocument/2006/relationships/hyperlink" Target="https://www.nrb.org.np/contents/uploads/2025/07/Annual-Report-2023-24-English.pdf" TargetMode="External"/><Relationship Id="rId77" Type="http://schemas.openxmlformats.org/officeDocument/2006/relationships/hyperlink" Target="https://thehimalayantimes.com/business/nrb-publishes-first-real-estate-marketstatus-report" TargetMode="External"/><Relationship Id="rId100" Type="http://schemas.openxmlformats.org/officeDocument/2006/relationships/hyperlink" Target="https://thehimalayantimes.com/business/nrb-publishes-first-real-estate-marketstatus-report" TargetMode="External"/><Relationship Id="rId105" Type="http://schemas.openxmlformats.org/officeDocument/2006/relationships/hyperlink" Target="https://unhabitat.org/sites/default/files/download-manager-files/Nepal%20Urban%20Housing%20Sector%20Profile.pdf" TargetMode="External"/><Relationship Id="rId126" Type="http://schemas.openxmlformats.org/officeDocument/2006/relationships/hyperlink" Target="https://www.newbusinessage.com/news/46157/government-lifts-ban-on-land-subdivision-in-municipalities-without-land-classification/" TargetMode="External"/><Relationship Id="rId8" Type="http://schemas.openxmlformats.org/officeDocument/2006/relationships/hyperlink" Target="https://censusnepal.cbs.gov.np/results/files/result-folder/Internal%20Migration%20in%20Nepal%20Report.pdf" TargetMode="External"/><Relationship Id="rId51" Type="http://schemas.openxmlformats.org/officeDocument/2006/relationships/hyperlink" Target="https://www.sharesansar.com/newsdetail/real-estate-transactions-experience-significant-decline-in-fy-207980-2023-07-20" TargetMode="External"/><Relationship Id="rId72" Type="http://schemas.openxmlformats.org/officeDocument/2006/relationships/hyperlink" Target="https://myrepublica.nagariknetwork.com/news/sc-reverses-previous-ruling-on-an-additional-20-meter-riverbank-standard-45-38.html" TargetMode="External"/><Relationship Id="rId93" Type="http://schemas.openxmlformats.org/officeDocument/2006/relationships/hyperlink" Target="https://risk.lexisnexis.com/global/en/insights-resources/article/aml-terror-financing-risks-as-nepal-reenters-fatf-grey-list" TargetMode="External"/><Relationship Id="rId98" Type="http://schemas.openxmlformats.org/officeDocument/2006/relationships/hyperlink" Target="https://www.newbusinessage.com/news/46157/government-lifts-ban-on-land-subdivision-in-municipalities-without-land-classification/" TargetMode="External"/><Relationship Id="rId121" Type="http://schemas.openxmlformats.org/officeDocument/2006/relationships/hyperlink" Target="https://www.nrb.org.np/contents/uploads/2025/07/Annual-Report-2023-24-English.pdf" TargetMode="External"/><Relationship Id="rId3" Type="http://schemas.openxmlformats.org/officeDocument/2006/relationships/settings" Target="settings.xml"/><Relationship Id="rId25" Type="http://schemas.openxmlformats.org/officeDocument/2006/relationships/hyperlink" Target="https://www.reddit.com/r/Nepal/comments/wuzerq/new_land_use_policy_and_its_effect_on_real_estate/" TargetMode="External"/><Relationship Id="rId46" Type="http://schemas.openxmlformats.org/officeDocument/2006/relationships/hyperlink" Target="https://thehimalayantimes.com/business/land-use-regulation-affects-realty" TargetMode="External"/><Relationship Id="rId67" Type="http://schemas.openxmlformats.org/officeDocument/2006/relationships/hyperlink" Target="https://ekantipur.com/pradesh-3/2025/06/17/en/manipulation-of-tax-rates-to-increase-revenue-in-bagmati-20-59.html" TargetMode="External"/><Relationship Id="rId116" Type="http://schemas.openxmlformats.org/officeDocument/2006/relationships/hyperlink" Target="https://www.sharesansar.com/newsdetail/real-estate-transactions-experience-significant-decline-in-fy-207980-2023-07-20" TargetMode="External"/><Relationship Id="rId20" Type="http://schemas.openxmlformats.org/officeDocument/2006/relationships/hyperlink" Target="https://www.researchgate.net/publication/379843098_REMITTANCE_IN_NEPAL_STATUS_TREND_AND_ECONOMIC_IMPACTS" TargetMode="External"/><Relationship Id="rId41" Type="http://schemas.openxmlformats.org/officeDocument/2006/relationships/hyperlink" Target="https://nationalmortgageprofessional.com/news/home-price-growth-surges-q4-2024" TargetMode="External"/><Relationship Id="rId62" Type="http://schemas.openxmlformats.org/officeDocument/2006/relationships/hyperlink" Target="https://english.nepalnews.com/s/business/nepals-real-estate-trends-key-insights-fy-2022-23-2024-25/" TargetMode="External"/><Relationship Id="rId83" Type="http://schemas.openxmlformats.org/officeDocument/2006/relationships/hyperlink" Target="https://en.setopati.com/political/165522" TargetMode="External"/><Relationship Id="rId88" Type="http://schemas.openxmlformats.org/officeDocument/2006/relationships/hyperlink" Target="https://thehimalayantimes.com/business/nrb-publishes-first-real-estate-marketstatus-report" TargetMode="External"/><Relationship Id="rId111" Type="http://schemas.openxmlformats.org/officeDocument/2006/relationships/hyperlink" Target="https://www.sharesansar.com/newsdetail/government-lifts-land-ceiling-for-housing-developers-2025-11-30" TargetMode="External"/><Relationship Id="rId132" Type="http://schemas.openxmlformats.org/officeDocument/2006/relationships/header" Target="header1.xml"/><Relationship Id="rId15" Type="http://schemas.openxmlformats.org/officeDocument/2006/relationships/hyperlink" Target="https://migrantmoney.uncdf.org/wp-content/uploads/2023/02/Nepal-Country-Assessments.pdf" TargetMode="External"/><Relationship Id="rId36" Type="http://schemas.openxmlformats.org/officeDocument/2006/relationships/hyperlink" Target="https://www.nrb.org.np/" TargetMode="External"/><Relationship Id="rId57" Type="http://schemas.openxmlformats.org/officeDocument/2006/relationships/hyperlink" Target="https://www.nrb.org.np/contents/uploads/2025/07/Annual-Report-2023-24-English.pdf" TargetMode="External"/><Relationship Id="rId106" Type="http://schemas.openxmlformats.org/officeDocument/2006/relationships/hyperlink" Target="https://www.urbaniizziv.si/Portals/urbaniizziv/Clanki/2010/urbani-izziv-en-2010-21-02-002.pdf" TargetMode="External"/><Relationship Id="rId127" Type="http://schemas.openxmlformats.org/officeDocument/2006/relationships/hyperlink" Target="https://www.newbusinessage.com/news/48293/nepal-rastra-bank-to-develop-real-estate-price-index-to-address-valuation-gaps/" TargetMode="External"/><Relationship Id="rId10" Type="http://schemas.openxmlformats.org/officeDocument/2006/relationships/hyperlink" Target="https://censusnepal.cbs.gov.np/results/files/result-folder/Urbanization%20and%20Development%20in%20Nepal.pdf" TargetMode="External"/><Relationship Id="rId31" Type="http://schemas.openxmlformats.org/officeDocument/2006/relationships/hyperlink" Target="https://thehimalayantimes.com/business/land-use-regulation-affects-realty" TargetMode="External"/><Relationship Id="rId52" Type="http://schemas.openxmlformats.org/officeDocument/2006/relationships/hyperlink" Target="https://ekantipur.com/business/2025/06/10/en/500-municipalities-did-not-classify-the-land-if-it-is-not-done-within-june-sales-will-be-stopped-02-29.html" TargetMode="External"/><Relationship Id="rId73" Type="http://schemas.openxmlformats.org/officeDocument/2006/relationships/hyperlink" Target="https://news.mongabay.com/2024/09/supreme-court-decision-on-saving-kathmandu-rivers-stirs-up-heated-reactions/" TargetMode="External"/><Relationship Id="rId78" Type="http://schemas.openxmlformats.org/officeDocument/2006/relationships/hyperlink" Target="https://www.urbaniizziv.si/Portals/urbaniizziv/Clanki/2010/urbani-izziv-en-2010-21-02-002.pdf" TargetMode="External"/><Relationship Id="rId94" Type="http://schemas.openxmlformats.org/officeDocument/2006/relationships/hyperlink" Target="https://www.nrb.org.np/contents/uploads/2023/09/Nepal-MER-2023.pdf" TargetMode="External"/><Relationship Id="rId99" Type="http://schemas.openxmlformats.org/officeDocument/2006/relationships/hyperlink" Target="https://english.nepalnews.com/s/business/nepals-real-estate-trends-key-insights-fy-2022-23-2024-25/" TargetMode="External"/><Relationship Id="rId101" Type="http://schemas.openxmlformats.org/officeDocument/2006/relationships/hyperlink" Target="https://nepsetrading.com/blog/record-real-estate-revenue-masks-structural-risks-from-local-level-lapses" TargetMode="External"/><Relationship Id="rId122" Type="http://schemas.openxmlformats.org/officeDocument/2006/relationships/hyperlink" Target="https://documents1.worldbank.org/curated/en/099439009302442870/pdf/IDU1bade747310f41144991a576183a9a3eb57d4.pdf" TargetMode="External"/><Relationship Id="rId4" Type="http://schemas.openxmlformats.org/officeDocument/2006/relationships/webSettings" Target="webSettings.xml"/><Relationship Id="rId9" Type="http://schemas.openxmlformats.org/officeDocument/2006/relationships/hyperlink" Target="https://www.researchgate.net/publication/390704723_National_Population_and_Housing_Census_2021_Internal_Migration_in_Nepal" TargetMode="External"/><Relationship Id="rId26" Type="http://schemas.openxmlformats.org/officeDocument/2006/relationships/hyperlink" Target="https://www.sharesansar.com/newsdetail/nepse-at-38-times-earnings-we-are-among-the-worlds-most-expensive-stock-markets-2026-04-10" TargetMode="External"/><Relationship Id="rId47" Type="http://schemas.openxmlformats.org/officeDocument/2006/relationships/hyperlink" Target="https://ekantipur.com/business/2025/06/10/en/500-municipalities-did-not-classify-the-land-if-it-is-not-done-within-june-sales-will-be-stopped-02-29.html" TargetMode="External"/><Relationship Id="rId68" Type="http://schemas.openxmlformats.org/officeDocument/2006/relationships/hyperlink" Target="https://www.newbusinessage.com/news/48293/nepal-rastra-bank-to-develop-real-estate-price-index-to-address-valuation-gaps/" TargetMode="External"/><Relationship Id="rId89" Type="http://schemas.openxmlformats.org/officeDocument/2006/relationships/hyperlink" Target="https://www.newbusinessage.com/news/48293/nepal-rastra-bank-to-develop-real-estate-price-index-to-address-valuation-gaps/" TargetMode="External"/><Relationship Id="rId112" Type="http://schemas.openxmlformats.org/officeDocument/2006/relationships/hyperlink" Target="https://www.worldbank.org/en/country/nepal/publication/nepaldevelopmentupdate"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8475</Words>
  <Characters>48312</Characters>
  <Application>Microsoft Office Word</Application>
  <DocSecurity>0</DocSecurity>
  <Lines>402</Lines>
  <Paragraphs>113</Paragraphs>
  <ScaleCrop>false</ScaleCrop>
  <Company/>
  <LinksUpToDate>false</LinksUpToDate>
  <CharactersWithSpaces>56674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Sushil Parajuli</cp:lastModifiedBy>
  <cp:revision>2</cp:revision>
  <dcterms:created xsi:type="dcterms:W3CDTF">2026-04-26T17:02:00Z</dcterms:created>
  <dcterms:modified xsi:type="dcterms:W3CDTF">2026-04-26T17:21:00Z</dcterms:modified>
</cp:coreProperties>
</file>